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sz w:val="24"/>
          <w:szCs w:val="24"/>
        </w:rPr>
        <w:id w:val="10769422"/>
        <w:docPartObj>
          <w:docPartGallery w:val="Cover Pages"/>
          <w:docPartUnique/>
        </w:docPartObj>
      </w:sdtPr>
      <w:sdtContent>
        <w:tbl>
          <w:tblPr>
            <w:tblpPr w:leftFromText="187" w:rightFromText="187" w:vertAnchor="page" w:horzAnchor="page" w:tblpYSpec="top"/>
            <w:tblW w:w="0" w:type="auto"/>
            <w:tblLook w:val="04A0"/>
          </w:tblPr>
          <w:tblGrid>
            <w:gridCol w:w="1440"/>
            <w:gridCol w:w="2520"/>
          </w:tblGrid>
          <w:tr w:rsidR="00076AFB" w:rsidRPr="00AA3D0F">
            <w:trPr>
              <w:trHeight w:val="1440"/>
            </w:trPr>
            <w:tc>
              <w:tcPr>
                <w:tcW w:w="1440" w:type="dxa"/>
                <w:tcBorders>
                  <w:right w:val="single" w:sz="4" w:space="0" w:color="FFFFFF" w:themeColor="background1"/>
                </w:tcBorders>
                <w:shd w:val="clear" w:color="auto" w:fill="943634" w:themeFill="accent2" w:themeFillShade="BF"/>
              </w:tcPr>
              <w:p w:rsidR="00076AFB" w:rsidRPr="00AA3D0F" w:rsidRDefault="00076AFB" w:rsidP="007D0965">
                <w:pPr>
                  <w:spacing w:line="360" w:lineRule="auto"/>
                  <w:contextualSpacing/>
                  <w:rPr>
                    <w:rFonts w:ascii="Times New Roman" w:hAnsi="Times New Roman" w:cs="Times New Roman"/>
                    <w:sz w:val="24"/>
                    <w:szCs w:val="24"/>
                  </w:rPr>
                </w:pPr>
              </w:p>
            </w:tc>
            <w:sdt>
              <w:sdtPr>
                <w:rPr>
                  <w:rFonts w:ascii="Times New Roman" w:eastAsiaTheme="majorEastAsia" w:hAnsi="Times New Roman" w:cs="Times New Roman"/>
                  <w:bCs/>
                  <w:color w:val="FFFFFF" w:themeColor="background1"/>
                  <w:sz w:val="24"/>
                  <w:szCs w:val="24"/>
                </w:rPr>
                <w:alias w:val="Year"/>
                <w:id w:val="15676118"/>
                <w:placeholder>
                  <w:docPart w:val="0EE1A55C2958459BB3DC199D579FC9F4"/>
                </w:placeholder>
                <w:dataBinding w:prefixMappings="xmlns:ns0='http://schemas.microsoft.com/office/2006/coverPageProps'" w:xpath="/ns0:CoverPageProperties[1]/ns0:PublishDate[1]" w:storeItemID="{55AF091B-3C7A-41E3-B477-F2FDAA23CFDA}"/>
                <w:date w:fullDate="2016-05-07T00:00:00Z">
                  <w:dateFormat w:val="yyyy"/>
                  <w:lid w:val="en-US"/>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076AFB" w:rsidRPr="00AA3D0F" w:rsidRDefault="00076AFB" w:rsidP="007D0965">
                    <w:pPr>
                      <w:pStyle w:val="NoSpacing"/>
                      <w:spacing w:line="360" w:lineRule="auto"/>
                      <w:contextualSpacing/>
                      <w:rPr>
                        <w:rFonts w:ascii="Times New Roman" w:eastAsiaTheme="majorEastAsia" w:hAnsi="Times New Roman" w:cs="Times New Roman"/>
                        <w:bCs/>
                        <w:color w:val="FFFFFF" w:themeColor="background1"/>
                        <w:sz w:val="24"/>
                        <w:szCs w:val="24"/>
                      </w:rPr>
                    </w:pPr>
                    <w:r w:rsidRPr="00AA3D0F">
                      <w:rPr>
                        <w:rFonts w:ascii="Times New Roman" w:eastAsiaTheme="majorEastAsia" w:hAnsi="Times New Roman" w:cs="Times New Roman"/>
                        <w:bCs/>
                        <w:color w:val="FFFFFF" w:themeColor="background1"/>
                        <w:sz w:val="24"/>
                        <w:szCs w:val="24"/>
                      </w:rPr>
                      <w:t>2016</w:t>
                    </w:r>
                  </w:p>
                </w:tc>
              </w:sdtContent>
            </w:sdt>
          </w:tr>
          <w:tr w:rsidR="00076AFB" w:rsidRPr="00AA3D0F">
            <w:trPr>
              <w:trHeight w:val="2880"/>
            </w:trPr>
            <w:tc>
              <w:tcPr>
                <w:tcW w:w="1440" w:type="dxa"/>
                <w:tcBorders>
                  <w:right w:val="single" w:sz="4" w:space="0" w:color="000000" w:themeColor="text1"/>
                </w:tcBorders>
              </w:tcPr>
              <w:p w:rsidR="00076AFB" w:rsidRPr="00AA3D0F" w:rsidRDefault="00076AFB" w:rsidP="007D0965">
                <w:pPr>
                  <w:spacing w:line="360" w:lineRule="auto"/>
                  <w:contextualSpacing/>
                  <w:rPr>
                    <w:rFonts w:ascii="Times New Roman" w:hAnsi="Times New Roman" w:cs="Times New Roman"/>
                    <w:sz w:val="24"/>
                    <w:szCs w:val="24"/>
                  </w:rPr>
                </w:pPr>
              </w:p>
            </w:tc>
            <w:tc>
              <w:tcPr>
                <w:tcW w:w="2520" w:type="dxa"/>
                <w:tcBorders>
                  <w:left w:val="single" w:sz="4" w:space="0" w:color="000000" w:themeColor="text1"/>
                </w:tcBorders>
                <w:vAlign w:val="center"/>
              </w:tcPr>
              <w:p w:rsidR="00076AFB" w:rsidRPr="00AA3D0F" w:rsidRDefault="00076AFB" w:rsidP="007D0965">
                <w:pPr>
                  <w:pStyle w:val="NoSpacing"/>
                  <w:spacing w:line="360" w:lineRule="auto"/>
                  <w:contextualSpacing/>
                  <w:rPr>
                    <w:rFonts w:ascii="Times New Roman" w:hAnsi="Times New Roman" w:cs="Times New Roman"/>
                    <w:color w:val="76923C" w:themeColor="accent3" w:themeShade="BF"/>
                    <w:sz w:val="24"/>
                    <w:szCs w:val="24"/>
                  </w:rPr>
                </w:pPr>
              </w:p>
            </w:tc>
          </w:tr>
        </w:tbl>
        <w:p w:rsidR="00076AFB" w:rsidRPr="00AA3D0F" w:rsidRDefault="00076AFB" w:rsidP="007D0965">
          <w:pPr>
            <w:spacing w:line="360" w:lineRule="auto"/>
            <w:contextualSpacing/>
            <w:rPr>
              <w:rFonts w:ascii="Times New Roman" w:hAnsi="Times New Roman" w:cs="Times New Roman"/>
              <w:sz w:val="24"/>
              <w:szCs w:val="24"/>
            </w:rPr>
          </w:pPr>
        </w:p>
        <w:p w:rsidR="00076AFB" w:rsidRPr="00AA3D0F" w:rsidRDefault="00076AFB" w:rsidP="007D0965">
          <w:pPr>
            <w:spacing w:line="360" w:lineRule="auto"/>
            <w:contextualSpacing/>
            <w:rPr>
              <w:rFonts w:ascii="Times New Roman" w:hAnsi="Times New Roman" w:cs="Times New Roman"/>
              <w:sz w:val="24"/>
              <w:szCs w:val="24"/>
            </w:rPr>
          </w:pPr>
        </w:p>
        <w:tbl>
          <w:tblPr>
            <w:tblpPr w:leftFromText="187" w:rightFromText="187" w:horzAnchor="margin" w:tblpXSpec="center" w:tblpYSpec="bottom"/>
            <w:tblW w:w="5000" w:type="pct"/>
            <w:tblLook w:val="04A0"/>
          </w:tblPr>
          <w:tblGrid>
            <w:gridCol w:w="9576"/>
          </w:tblGrid>
          <w:tr w:rsidR="00076AFB" w:rsidRPr="00AA3D0F">
            <w:tc>
              <w:tcPr>
                <w:tcW w:w="0" w:type="auto"/>
              </w:tcPr>
              <w:p w:rsidR="00076AFB" w:rsidRPr="00AA3D0F" w:rsidRDefault="00076AFB" w:rsidP="007D0965">
                <w:pPr>
                  <w:pStyle w:val="NoSpacing"/>
                  <w:spacing w:line="360" w:lineRule="auto"/>
                  <w:contextualSpacing/>
                  <w:jc w:val="center"/>
                  <w:rPr>
                    <w:rFonts w:ascii="Times New Roman" w:hAnsi="Times New Roman" w:cs="Times New Roman"/>
                    <w:bCs/>
                    <w:caps/>
                    <w:sz w:val="24"/>
                    <w:szCs w:val="24"/>
                  </w:rPr>
                </w:pPr>
                <w:r w:rsidRPr="00AA3D0F">
                  <w:rPr>
                    <w:rFonts w:ascii="Times New Roman" w:hAnsi="Times New Roman" w:cs="Times New Roman"/>
                    <w:bCs/>
                    <w:caps/>
                    <w:color w:val="76923C" w:themeColor="accent3" w:themeShade="BF"/>
                    <w:sz w:val="24"/>
                    <w:szCs w:val="24"/>
                  </w:rPr>
                  <w:t>[</w:t>
                </w:r>
                <w:sdt>
                  <w:sdtPr>
                    <w:rPr>
                      <w:rFonts w:ascii="Times New Roman" w:eastAsia="Arial Unicode MS" w:hAnsi="Times New Roman" w:cs="Times New Roman"/>
                      <w:color w:val="000000"/>
                      <w:sz w:val="24"/>
                      <w:szCs w:val="24"/>
                    </w:rPr>
                    <w:alias w:val="Title"/>
                    <w:id w:val="15676137"/>
                    <w:dataBinding w:prefixMappings="xmlns:ns0='http://schemas.openxmlformats.org/package/2006/metadata/core-properties' xmlns:ns1='http://purl.org/dc/elements/1.1/'" w:xpath="/ns0:coreProperties[1]/ns1:title[1]" w:storeItemID="{6C3C8BC8-F283-45AE-878A-BAB7291924A1}"/>
                    <w:text/>
                  </w:sdtPr>
                  <w:sdtContent>
                    <w:r w:rsidRPr="00AA3D0F">
                      <w:rPr>
                        <w:rFonts w:ascii="Times New Roman" w:eastAsia="Arial Unicode MS" w:hAnsi="Times New Roman" w:cs="Times New Roman"/>
                        <w:color w:val="000000"/>
                        <w:sz w:val="24"/>
                        <w:szCs w:val="24"/>
                      </w:rPr>
                      <w:t>BUACC2606 FINANCIAL ACCOUNT</w:t>
                    </w:r>
                    <w:r w:rsidR="00AA3D0F">
                      <w:rPr>
                        <w:rFonts w:ascii="Times New Roman" w:eastAsia="Arial Unicode MS" w:hAnsi="Times New Roman" w:cs="Times New Roman"/>
                        <w:color w:val="000000"/>
                        <w:sz w:val="24"/>
                        <w:szCs w:val="24"/>
                      </w:rPr>
                      <w:t>ING RESEARCH ASSIGNMENT SEM</w:t>
                    </w:r>
                    <w:r w:rsidRPr="00AA3D0F">
                      <w:rPr>
                        <w:rFonts w:ascii="Times New Roman" w:eastAsia="Arial Unicode MS" w:hAnsi="Times New Roman" w:cs="Times New Roman"/>
                        <w:color w:val="000000"/>
                        <w:sz w:val="24"/>
                        <w:szCs w:val="24"/>
                      </w:rPr>
                      <w:t xml:space="preserve"> 1, 2016</w:t>
                    </w:r>
                  </w:sdtContent>
                </w:sdt>
                <w:r w:rsidRPr="00AA3D0F">
                  <w:rPr>
                    <w:rFonts w:ascii="Times New Roman" w:hAnsi="Times New Roman" w:cs="Times New Roman"/>
                    <w:bCs/>
                    <w:caps/>
                    <w:color w:val="76923C" w:themeColor="accent3" w:themeShade="BF"/>
                    <w:sz w:val="24"/>
                    <w:szCs w:val="24"/>
                  </w:rPr>
                  <w:t>]</w:t>
                </w:r>
              </w:p>
            </w:tc>
          </w:tr>
          <w:tr w:rsidR="00076AFB" w:rsidRPr="00AA3D0F">
            <w:tc>
              <w:tcPr>
                <w:tcW w:w="0" w:type="auto"/>
              </w:tcPr>
              <w:p w:rsidR="00076AFB" w:rsidRPr="00AA3D0F" w:rsidRDefault="00076AFB" w:rsidP="007D0965">
                <w:pPr>
                  <w:pStyle w:val="NoSpacing"/>
                  <w:spacing w:line="360" w:lineRule="auto"/>
                  <w:contextualSpacing/>
                  <w:rPr>
                    <w:rFonts w:ascii="Times New Roman" w:hAnsi="Times New Roman" w:cs="Times New Roman"/>
                    <w:color w:val="7F7F7F" w:themeColor="background1" w:themeShade="7F"/>
                    <w:sz w:val="24"/>
                    <w:szCs w:val="24"/>
                  </w:rPr>
                </w:pPr>
              </w:p>
            </w:tc>
          </w:tr>
        </w:tbl>
        <w:p w:rsidR="00076AFB" w:rsidRPr="00AA3D0F" w:rsidRDefault="00076AFB" w:rsidP="007D0965">
          <w:pPr>
            <w:spacing w:line="360" w:lineRule="auto"/>
            <w:contextualSpacing/>
            <w:rPr>
              <w:rFonts w:ascii="Times New Roman" w:hAnsi="Times New Roman" w:cs="Times New Roman"/>
              <w:sz w:val="24"/>
              <w:szCs w:val="24"/>
            </w:rPr>
          </w:pPr>
        </w:p>
        <w:p w:rsidR="00076AFB" w:rsidRPr="00AA3D0F" w:rsidRDefault="00076AFB" w:rsidP="007D0965">
          <w:pPr>
            <w:spacing w:line="360" w:lineRule="auto"/>
            <w:contextualSpacing/>
            <w:rPr>
              <w:rFonts w:ascii="Times New Roman" w:hAnsi="Times New Roman" w:cs="Times New Roman"/>
              <w:sz w:val="24"/>
              <w:szCs w:val="24"/>
            </w:rPr>
          </w:pPr>
          <w:r w:rsidRPr="00AA3D0F">
            <w:rPr>
              <w:rFonts w:ascii="Times New Roman" w:hAnsi="Times New Roman" w:cs="Times New Roman"/>
              <w:sz w:val="24"/>
              <w:szCs w:val="24"/>
            </w:rPr>
            <w:br w:type="page"/>
          </w:r>
        </w:p>
      </w:sdtContent>
    </w:sdt>
    <w:sdt>
      <w:sdtPr>
        <w:rPr>
          <w:rFonts w:asciiTheme="minorHAnsi" w:eastAsiaTheme="minorHAnsi" w:hAnsiTheme="minorHAnsi" w:cstheme="minorBidi"/>
          <w:b w:val="0"/>
          <w:bCs w:val="0"/>
          <w:color w:val="auto"/>
          <w:sz w:val="22"/>
          <w:szCs w:val="22"/>
        </w:rPr>
        <w:id w:val="5643366"/>
        <w:docPartObj>
          <w:docPartGallery w:val="Table of Contents"/>
          <w:docPartUnique/>
        </w:docPartObj>
      </w:sdtPr>
      <w:sdtContent>
        <w:p w:rsidR="00B1275A" w:rsidRDefault="00B1275A" w:rsidP="007D0965">
          <w:pPr>
            <w:pStyle w:val="TOCHeading"/>
            <w:spacing w:line="360" w:lineRule="auto"/>
          </w:pPr>
          <w:r>
            <w:t>Table of Contents</w:t>
          </w:r>
        </w:p>
        <w:p w:rsidR="00E705C6" w:rsidRDefault="00C0191F">
          <w:pPr>
            <w:pStyle w:val="TOC1"/>
            <w:tabs>
              <w:tab w:val="right" w:leader="dot" w:pos="9350"/>
            </w:tabs>
            <w:rPr>
              <w:rFonts w:eastAsiaTheme="minorEastAsia"/>
              <w:noProof/>
            </w:rPr>
          </w:pPr>
          <w:r>
            <w:fldChar w:fldCharType="begin"/>
          </w:r>
          <w:r w:rsidR="00B1275A">
            <w:instrText xml:space="preserve"> TOC \o "1-3" \h \z \u </w:instrText>
          </w:r>
          <w:r>
            <w:fldChar w:fldCharType="separate"/>
          </w:r>
          <w:hyperlink w:anchor="_Toc450577187" w:history="1">
            <w:r w:rsidR="00E705C6" w:rsidRPr="006A2197">
              <w:rPr>
                <w:rStyle w:val="Hyperlink"/>
                <w:noProof/>
              </w:rPr>
              <w:t>Introduction</w:t>
            </w:r>
            <w:r w:rsidR="00E705C6">
              <w:rPr>
                <w:noProof/>
                <w:webHidden/>
              </w:rPr>
              <w:tab/>
            </w:r>
            <w:r w:rsidR="00E705C6">
              <w:rPr>
                <w:noProof/>
                <w:webHidden/>
              </w:rPr>
              <w:fldChar w:fldCharType="begin"/>
            </w:r>
            <w:r w:rsidR="00E705C6">
              <w:rPr>
                <w:noProof/>
                <w:webHidden/>
              </w:rPr>
              <w:instrText xml:space="preserve"> PAGEREF _Toc450577187 \h </w:instrText>
            </w:r>
            <w:r w:rsidR="00E705C6">
              <w:rPr>
                <w:noProof/>
                <w:webHidden/>
              </w:rPr>
            </w:r>
            <w:r w:rsidR="00E705C6">
              <w:rPr>
                <w:noProof/>
                <w:webHidden/>
              </w:rPr>
              <w:fldChar w:fldCharType="separate"/>
            </w:r>
            <w:r w:rsidR="00E705C6">
              <w:rPr>
                <w:noProof/>
                <w:webHidden/>
              </w:rPr>
              <w:t>3</w:t>
            </w:r>
            <w:r w:rsidR="00E705C6">
              <w:rPr>
                <w:noProof/>
                <w:webHidden/>
              </w:rPr>
              <w:fldChar w:fldCharType="end"/>
            </w:r>
          </w:hyperlink>
        </w:p>
        <w:p w:rsidR="00E705C6" w:rsidRDefault="00E705C6">
          <w:pPr>
            <w:pStyle w:val="TOC1"/>
            <w:tabs>
              <w:tab w:val="right" w:leader="dot" w:pos="9350"/>
            </w:tabs>
            <w:rPr>
              <w:rFonts w:eastAsiaTheme="minorEastAsia"/>
              <w:noProof/>
            </w:rPr>
          </w:pPr>
          <w:hyperlink w:anchor="_Toc450577188" w:history="1">
            <w:r w:rsidRPr="006A2197">
              <w:rPr>
                <w:rStyle w:val="Hyperlink"/>
                <w:noProof/>
              </w:rPr>
              <w:t>Accounting Concepts and relevant examples</w:t>
            </w:r>
            <w:r>
              <w:rPr>
                <w:noProof/>
                <w:webHidden/>
              </w:rPr>
              <w:tab/>
            </w:r>
            <w:r>
              <w:rPr>
                <w:noProof/>
                <w:webHidden/>
              </w:rPr>
              <w:fldChar w:fldCharType="begin"/>
            </w:r>
            <w:r>
              <w:rPr>
                <w:noProof/>
                <w:webHidden/>
              </w:rPr>
              <w:instrText xml:space="preserve"> PAGEREF _Toc450577188 \h </w:instrText>
            </w:r>
            <w:r>
              <w:rPr>
                <w:noProof/>
                <w:webHidden/>
              </w:rPr>
            </w:r>
            <w:r>
              <w:rPr>
                <w:noProof/>
                <w:webHidden/>
              </w:rPr>
              <w:fldChar w:fldCharType="separate"/>
            </w:r>
            <w:r>
              <w:rPr>
                <w:noProof/>
                <w:webHidden/>
              </w:rPr>
              <w:t>3</w:t>
            </w:r>
            <w:r>
              <w:rPr>
                <w:noProof/>
                <w:webHidden/>
              </w:rPr>
              <w:fldChar w:fldCharType="end"/>
            </w:r>
          </w:hyperlink>
        </w:p>
        <w:p w:rsidR="00E705C6" w:rsidRDefault="00E705C6">
          <w:pPr>
            <w:pStyle w:val="TOC2"/>
            <w:tabs>
              <w:tab w:val="right" w:leader="dot" w:pos="9350"/>
            </w:tabs>
            <w:rPr>
              <w:rFonts w:eastAsiaTheme="minorEastAsia"/>
              <w:noProof/>
            </w:rPr>
          </w:pPr>
          <w:hyperlink w:anchor="_Toc450577189" w:history="1">
            <w:r w:rsidRPr="006A2197">
              <w:rPr>
                <w:rStyle w:val="Hyperlink"/>
                <w:noProof/>
              </w:rPr>
              <w:t>Units of Production basis</w:t>
            </w:r>
            <w:r>
              <w:rPr>
                <w:noProof/>
                <w:webHidden/>
              </w:rPr>
              <w:tab/>
            </w:r>
            <w:r>
              <w:rPr>
                <w:noProof/>
                <w:webHidden/>
              </w:rPr>
              <w:fldChar w:fldCharType="begin"/>
            </w:r>
            <w:r>
              <w:rPr>
                <w:noProof/>
                <w:webHidden/>
              </w:rPr>
              <w:instrText xml:space="preserve"> PAGEREF _Toc450577189 \h </w:instrText>
            </w:r>
            <w:r>
              <w:rPr>
                <w:noProof/>
                <w:webHidden/>
              </w:rPr>
            </w:r>
            <w:r>
              <w:rPr>
                <w:noProof/>
                <w:webHidden/>
              </w:rPr>
              <w:fldChar w:fldCharType="separate"/>
            </w:r>
            <w:r>
              <w:rPr>
                <w:noProof/>
                <w:webHidden/>
              </w:rPr>
              <w:t>5</w:t>
            </w:r>
            <w:r>
              <w:rPr>
                <w:noProof/>
                <w:webHidden/>
              </w:rPr>
              <w:fldChar w:fldCharType="end"/>
            </w:r>
          </w:hyperlink>
        </w:p>
        <w:p w:rsidR="00E705C6" w:rsidRDefault="00E705C6">
          <w:pPr>
            <w:pStyle w:val="TOC2"/>
            <w:tabs>
              <w:tab w:val="right" w:leader="dot" w:pos="9350"/>
            </w:tabs>
            <w:rPr>
              <w:rFonts w:eastAsiaTheme="minorEastAsia"/>
              <w:noProof/>
            </w:rPr>
          </w:pPr>
          <w:hyperlink w:anchor="_Toc450577190" w:history="1">
            <w:r w:rsidRPr="006A2197">
              <w:rPr>
                <w:rStyle w:val="Hyperlink"/>
                <w:noProof/>
              </w:rPr>
              <w:t>Straight line basis</w:t>
            </w:r>
            <w:r>
              <w:rPr>
                <w:noProof/>
                <w:webHidden/>
              </w:rPr>
              <w:tab/>
            </w:r>
            <w:r>
              <w:rPr>
                <w:noProof/>
                <w:webHidden/>
              </w:rPr>
              <w:fldChar w:fldCharType="begin"/>
            </w:r>
            <w:r>
              <w:rPr>
                <w:noProof/>
                <w:webHidden/>
              </w:rPr>
              <w:instrText xml:space="preserve"> PAGEREF _Toc450577190 \h </w:instrText>
            </w:r>
            <w:r>
              <w:rPr>
                <w:noProof/>
                <w:webHidden/>
              </w:rPr>
            </w:r>
            <w:r>
              <w:rPr>
                <w:noProof/>
                <w:webHidden/>
              </w:rPr>
              <w:fldChar w:fldCharType="separate"/>
            </w:r>
            <w:r>
              <w:rPr>
                <w:noProof/>
                <w:webHidden/>
              </w:rPr>
              <w:t>5</w:t>
            </w:r>
            <w:r>
              <w:rPr>
                <w:noProof/>
                <w:webHidden/>
              </w:rPr>
              <w:fldChar w:fldCharType="end"/>
            </w:r>
          </w:hyperlink>
        </w:p>
        <w:p w:rsidR="00E705C6" w:rsidRDefault="00E705C6">
          <w:pPr>
            <w:pStyle w:val="TOC2"/>
            <w:tabs>
              <w:tab w:val="right" w:leader="dot" w:pos="9350"/>
            </w:tabs>
            <w:rPr>
              <w:rFonts w:eastAsiaTheme="minorEastAsia"/>
              <w:noProof/>
            </w:rPr>
          </w:pPr>
          <w:hyperlink w:anchor="_Toc450577191" w:history="1">
            <w:r w:rsidRPr="006A2197">
              <w:rPr>
                <w:rStyle w:val="Hyperlink"/>
                <w:rFonts w:eastAsia="Arial Unicode MS"/>
                <w:noProof/>
                <w:bdr w:val="nil"/>
              </w:rPr>
              <w:t>Impairment charges:</w:t>
            </w:r>
            <w:r>
              <w:rPr>
                <w:noProof/>
                <w:webHidden/>
              </w:rPr>
              <w:tab/>
            </w:r>
            <w:r>
              <w:rPr>
                <w:noProof/>
                <w:webHidden/>
              </w:rPr>
              <w:fldChar w:fldCharType="begin"/>
            </w:r>
            <w:r>
              <w:rPr>
                <w:noProof/>
                <w:webHidden/>
              </w:rPr>
              <w:instrText xml:space="preserve"> PAGEREF _Toc450577191 \h </w:instrText>
            </w:r>
            <w:r>
              <w:rPr>
                <w:noProof/>
                <w:webHidden/>
              </w:rPr>
            </w:r>
            <w:r>
              <w:rPr>
                <w:noProof/>
                <w:webHidden/>
              </w:rPr>
              <w:fldChar w:fldCharType="separate"/>
            </w:r>
            <w:r>
              <w:rPr>
                <w:noProof/>
                <w:webHidden/>
              </w:rPr>
              <w:t>5</w:t>
            </w:r>
            <w:r>
              <w:rPr>
                <w:noProof/>
                <w:webHidden/>
              </w:rPr>
              <w:fldChar w:fldCharType="end"/>
            </w:r>
          </w:hyperlink>
        </w:p>
        <w:p w:rsidR="00E705C6" w:rsidRDefault="00E705C6">
          <w:pPr>
            <w:pStyle w:val="TOC2"/>
            <w:tabs>
              <w:tab w:val="right" w:leader="dot" w:pos="9350"/>
            </w:tabs>
            <w:rPr>
              <w:rFonts w:eastAsiaTheme="minorEastAsia"/>
              <w:noProof/>
            </w:rPr>
          </w:pPr>
          <w:hyperlink w:anchor="_Toc450577192" w:history="1">
            <w:r w:rsidRPr="006A2197">
              <w:rPr>
                <w:rStyle w:val="Hyperlink"/>
                <w:noProof/>
              </w:rPr>
              <w:t>Determination of ore reserve and mineral resource estimate</w:t>
            </w:r>
            <w:r>
              <w:rPr>
                <w:noProof/>
                <w:webHidden/>
              </w:rPr>
              <w:tab/>
            </w:r>
            <w:r>
              <w:rPr>
                <w:noProof/>
                <w:webHidden/>
              </w:rPr>
              <w:fldChar w:fldCharType="begin"/>
            </w:r>
            <w:r>
              <w:rPr>
                <w:noProof/>
                <w:webHidden/>
              </w:rPr>
              <w:instrText xml:space="preserve"> PAGEREF _Toc450577192 \h </w:instrText>
            </w:r>
            <w:r>
              <w:rPr>
                <w:noProof/>
                <w:webHidden/>
              </w:rPr>
            </w:r>
            <w:r>
              <w:rPr>
                <w:noProof/>
                <w:webHidden/>
              </w:rPr>
              <w:fldChar w:fldCharType="separate"/>
            </w:r>
            <w:r>
              <w:rPr>
                <w:noProof/>
                <w:webHidden/>
              </w:rPr>
              <w:t>6</w:t>
            </w:r>
            <w:r>
              <w:rPr>
                <w:noProof/>
                <w:webHidden/>
              </w:rPr>
              <w:fldChar w:fldCharType="end"/>
            </w:r>
          </w:hyperlink>
        </w:p>
        <w:p w:rsidR="00E705C6" w:rsidRDefault="00E705C6">
          <w:pPr>
            <w:pStyle w:val="TOC1"/>
            <w:tabs>
              <w:tab w:val="right" w:leader="dot" w:pos="9350"/>
            </w:tabs>
            <w:rPr>
              <w:rFonts w:eastAsiaTheme="minorEastAsia"/>
              <w:noProof/>
            </w:rPr>
          </w:pPr>
          <w:hyperlink w:anchor="_Toc450577193" w:history="1">
            <w:r w:rsidRPr="006A2197">
              <w:rPr>
                <w:rStyle w:val="Hyperlink"/>
                <w:noProof/>
              </w:rPr>
              <w:t>Measurement problem in the context of present AASB / IASB standards</w:t>
            </w:r>
            <w:r>
              <w:rPr>
                <w:noProof/>
                <w:webHidden/>
              </w:rPr>
              <w:tab/>
            </w:r>
            <w:r>
              <w:rPr>
                <w:noProof/>
                <w:webHidden/>
              </w:rPr>
              <w:fldChar w:fldCharType="begin"/>
            </w:r>
            <w:r>
              <w:rPr>
                <w:noProof/>
                <w:webHidden/>
              </w:rPr>
              <w:instrText xml:space="preserve"> PAGEREF _Toc450577193 \h </w:instrText>
            </w:r>
            <w:r>
              <w:rPr>
                <w:noProof/>
                <w:webHidden/>
              </w:rPr>
            </w:r>
            <w:r>
              <w:rPr>
                <w:noProof/>
                <w:webHidden/>
              </w:rPr>
              <w:fldChar w:fldCharType="separate"/>
            </w:r>
            <w:r>
              <w:rPr>
                <w:noProof/>
                <w:webHidden/>
              </w:rPr>
              <w:t>6</w:t>
            </w:r>
            <w:r>
              <w:rPr>
                <w:noProof/>
                <w:webHidden/>
              </w:rPr>
              <w:fldChar w:fldCharType="end"/>
            </w:r>
          </w:hyperlink>
        </w:p>
        <w:p w:rsidR="00E705C6" w:rsidRDefault="00E705C6">
          <w:pPr>
            <w:pStyle w:val="TOC1"/>
            <w:tabs>
              <w:tab w:val="right" w:leader="dot" w:pos="9350"/>
            </w:tabs>
            <w:rPr>
              <w:rFonts w:eastAsiaTheme="minorEastAsia"/>
              <w:noProof/>
            </w:rPr>
          </w:pPr>
          <w:hyperlink w:anchor="_Toc450577194" w:history="1">
            <w:r w:rsidRPr="006A2197">
              <w:rPr>
                <w:rStyle w:val="Hyperlink"/>
                <w:noProof/>
              </w:rPr>
              <w:t>Significance of different processes for achievement of estimates</w:t>
            </w:r>
            <w:r>
              <w:rPr>
                <w:noProof/>
                <w:webHidden/>
              </w:rPr>
              <w:tab/>
            </w:r>
            <w:r>
              <w:rPr>
                <w:noProof/>
                <w:webHidden/>
              </w:rPr>
              <w:fldChar w:fldCharType="begin"/>
            </w:r>
            <w:r>
              <w:rPr>
                <w:noProof/>
                <w:webHidden/>
              </w:rPr>
              <w:instrText xml:space="preserve"> PAGEREF _Toc450577194 \h </w:instrText>
            </w:r>
            <w:r>
              <w:rPr>
                <w:noProof/>
                <w:webHidden/>
              </w:rPr>
            </w:r>
            <w:r>
              <w:rPr>
                <w:noProof/>
                <w:webHidden/>
              </w:rPr>
              <w:fldChar w:fldCharType="separate"/>
            </w:r>
            <w:r>
              <w:rPr>
                <w:noProof/>
                <w:webHidden/>
              </w:rPr>
              <w:t>7</w:t>
            </w:r>
            <w:r>
              <w:rPr>
                <w:noProof/>
                <w:webHidden/>
              </w:rPr>
              <w:fldChar w:fldCharType="end"/>
            </w:r>
          </w:hyperlink>
        </w:p>
        <w:p w:rsidR="00E705C6" w:rsidRDefault="00E705C6">
          <w:pPr>
            <w:pStyle w:val="TOC1"/>
            <w:tabs>
              <w:tab w:val="right" w:leader="dot" w:pos="9350"/>
            </w:tabs>
            <w:rPr>
              <w:rFonts w:eastAsiaTheme="minorEastAsia"/>
              <w:noProof/>
            </w:rPr>
          </w:pPr>
          <w:hyperlink w:anchor="_Toc450577195" w:history="1">
            <w:r w:rsidRPr="006A2197">
              <w:rPr>
                <w:rStyle w:val="Hyperlink"/>
                <w:noProof/>
              </w:rPr>
              <w:t>Conclusion</w:t>
            </w:r>
            <w:r>
              <w:rPr>
                <w:noProof/>
                <w:webHidden/>
              </w:rPr>
              <w:tab/>
            </w:r>
            <w:r>
              <w:rPr>
                <w:noProof/>
                <w:webHidden/>
              </w:rPr>
              <w:fldChar w:fldCharType="begin"/>
            </w:r>
            <w:r>
              <w:rPr>
                <w:noProof/>
                <w:webHidden/>
              </w:rPr>
              <w:instrText xml:space="preserve"> PAGEREF _Toc450577195 \h </w:instrText>
            </w:r>
            <w:r>
              <w:rPr>
                <w:noProof/>
                <w:webHidden/>
              </w:rPr>
            </w:r>
            <w:r>
              <w:rPr>
                <w:noProof/>
                <w:webHidden/>
              </w:rPr>
              <w:fldChar w:fldCharType="separate"/>
            </w:r>
            <w:r>
              <w:rPr>
                <w:noProof/>
                <w:webHidden/>
              </w:rPr>
              <w:t>9</w:t>
            </w:r>
            <w:r>
              <w:rPr>
                <w:noProof/>
                <w:webHidden/>
              </w:rPr>
              <w:fldChar w:fldCharType="end"/>
            </w:r>
          </w:hyperlink>
        </w:p>
        <w:p w:rsidR="00E705C6" w:rsidRDefault="00E705C6">
          <w:pPr>
            <w:pStyle w:val="TOC1"/>
            <w:tabs>
              <w:tab w:val="right" w:leader="dot" w:pos="9350"/>
            </w:tabs>
            <w:rPr>
              <w:rFonts w:eastAsiaTheme="minorEastAsia"/>
              <w:noProof/>
            </w:rPr>
          </w:pPr>
          <w:hyperlink w:anchor="_Toc450577196" w:history="1">
            <w:r w:rsidRPr="006A2197">
              <w:rPr>
                <w:rStyle w:val="Hyperlink"/>
                <w:noProof/>
              </w:rPr>
              <w:t>References</w:t>
            </w:r>
            <w:r>
              <w:rPr>
                <w:noProof/>
                <w:webHidden/>
              </w:rPr>
              <w:tab/>
            </w:r>
            <w:r>
              <w:rPr>
                <w:noProof/>
                <w:webHidden/>
              </w:rPr>
              <w:fldChar w:fldCharType="begin"/>
            </w:r>
            <w:r>
              <w:rPr>
                <w:noProof/>
                <w:webHidden/>
              </w:rPr>
              <w:instrText xml:space="preserve"> PAGEREF _Toc450577196 \h </w:instrText>
            </w:r>
            <w:r>
              <w:rPr>
                <w:noProof/>
                <w:webHidden/>
              </w:rPr>
            </w:r>
            <w:r>
              <w:rPr>
                <w:noProof/>
                <w:webHidden/>
              </w:rPr>
              <w:fldChar w:fldCharType="separate"/>
            </w:r>
            <w:r>
              <w:rPr>
                <w:noProof/>
                <w:webHidden/>
              </w:rPr>
              <w:t>10</w:t>
            </w:r>
            <w:r>
              <w:rPr>
                <w:noProof/>
                <w:webHidden/>
              </w:rPr>
              <w:fldChar w:fldCharType="end"/>
            </w:r>
          </w:hyperlink>
        </w:p>
        <w:p w:rsidR="00B1275A" w:rsidRDefault="00C0191F" w:rsidP="007D0965">
          <w:pPr>
            <w:spacing w:line="360" w:lineRule="auto"/>
          </w:pPr>
          <w:r>
            <w:fldChar w:fldCharType="end"/>
          </w:r>
        </w:p>
      </w:sdtContent>
    </w:sdt>
    <w:p w:rsidR="00447BB5" w:rsidRDefault="00447BB5" w:rsidP="007D0965">
      <w:pPr>
        <w:pStyle w:val="Body"/>
        <w:spacing w:line="360" w:lineRule="auto"/>
        <w:contextualSpacing/>
        <w:jc w:val="both"/>
        <w:rPr>
          <w:rFonts w:ascii="Times New Roman" w:hAnsi="Times New Roman" w:cs="Times New Roman"/>
          <w:iCs/>
          <w:sz w:val="24"/>
          <w:szCs w:val="24"/>
        </w:rPr>
      </w:pPr>
    </w:p>
    <w:p w:rsidR="00B1275A" w:rsidRDefault="00B1275A" w:rsidP="007D0965">
      <w:pPr>
        <w:pStyle w:val="Body"/>
        <w:spacing w:line="360" w:lineRule="auto"/>
        <w:contextualSpacing/>
        <w:jc w:val="both"/>
        <w:rPr>
          <w:rFonts w:ascii="Times New Roman" w:hAnsi="Times New Roman" w:cs="Times New Roman"/>
          <w:iCs/>
          <w:sz w:val="24"/>
          <w:szCs w:val="24"/>
        </w:rPr>
      </w:pPr>
    </w:p>
    <w:p w:rsidR="00B1275A" w:rsidRDefault="00B1275A" w:rsidP="007D0965">
      <w:pPr>
        <w:pStyle w:val="Body"/>
        <w:spacing w:line="360" w:lineRule="auto"/>
        <w:contextualSpacing/>
        <w:jc w:val="both"/>
        <w:rPr>
          <w:rFonts w:ascii="Times New Roman" w:hAnsi="Times New Roman" w:cs="Times New Roman"/>
          <w:iCs/>
          <w:sz w:val="24"/>
          <w:szCs w:val="24"/>
        </w:rPr>
      </w:pPr>
    </w:p>
    <w:p w:rsidR="00B1275A" w:rsidRDefault="00B1275A" w:rsidP="007D0965">
      <w:pPr>
        <w:pStyle w:val="Body"/>
        <w:spacing w:line="360" w:lineRule="auto"/>
        <w:contextualSpacing/>
        <w:jc w:val="both"/>
        <w:rPr>
          <w:rFonts w:ascii="Times New Roman" w:hAnsi="Times New Roman" w:cs="Times New Roman"/>
          <w:iCs/>
          <w:sz w:val="24"/>
          <w:szCs w:val="24"/>
        </w:rPr>
      </w:pPr>
    </w:p>
    <w:p w:rsidR="00B1275A" w:rsidRDefault="00B1275A" w:rsidP="007D0965">
      <w:pPr>
        <w:pStyle w:val="Body"/>
        <w:spacing w:line="360" w:lineRule="auto"/>
        <w:contextualSpacing/>
        <w:jc w:val="both"/>
        <w:rPr>
          <w:rFonts w:ascii="Times New Roman" w:hAnsi="Times New Roman" w:cs="Times New Roman"/>
          <w:iCs/>
          <w:sz w:val="24"/>
          <w:szCs w:val="24"/>
        </w:rPr>
      </w:pPr>
    </w:p>
    <w:p w:rsidR="00B1275A" w:rsidRDefault="00B1275A" w:rsidP="007D0965">
      <w:pPr>
        <w:pStyle w:val="Body"/>
        <w:spacing w:line="360" w:lineRule="auto"/>
        <w:contextualSpacing/>
        <w:jc w:val="both"/>
        <w:rPr>
          <w:rFonts w:ascii="Times New Roman" w:hAnsi="Times New Roman" w:cs="Times New Roman"/>
          <w:iCs/>
          <w:sz w:val="24"/>
          <w:szCs w:val="24"/>
        </w:rPr>
      </w:pPr>
    </w:p>
    <w:p w:rsidR="00B1275A" w:rsidRDefault="00B1275A" w:rsidP="007D0965">
      <w:pPr>
        <w:pStyle w:val="Body"/>
        <w:spacing w:line="360" w:lineRule="auto"/>
        <w:contextualSpacing/>
        <w:jc w:val="both"/>
        <w:rPr>
          <w:rFonts w:ascii="Times New Roman" w:hAnsi="Times New Roman" w:cs="Times New Roman"/>
          <w:iCs/>
          <w:sz w:val="24"/>
          <w:szCs w:val="24"/>
        </w:rPr>
      </w:pPr>
    </w:p>
    <w:p w:rsidR="00B1275A" w:rsidRDefault="00B1275A" w:rsidP="007D0965">
      <w:pPr>
        <w:pStyle w:val="Body"/>
        <w:spacing w:line="360" w:lineRule="auto"/>
        <w:contextualSpacing/>
        <w:jc w:val="both"/>
        <w:rPr>
          <w:rFonts w:ascii="Times New Roman" w:hAnsi="Times New Roman" w:cs="Times New Roman"/>
          <w:iCs/>
          <w:sz w:val="24"/>
          <w:szCs w:val="24"/>
        </w:rPr>
      </w:pPr>
    </w:p>
    <w:p w:rsidR="00B1275A" w:rsidRDefault="00B1275A" w:rsidP="007D0965">
      <w:pPr>
        <w:pStyle w:val="Body"/>
        <w:spacing w:line="360" w:lineRule="auto"/>
        <w:contextualSpacing/>
        <w:jc w:val="both"/>
        <w:rPr>
          <w:rFonts w:ascii="Times New Roman" w:hAnsi="Times New Roman" w:cs="Times New Roman"/>
          <w:iCs/>
          <w:sz w:val="24"/>
          <w:szCs w:val="24"/>
        </w:rPr>
      </w:pPr>
    </w:p>
    <w:p w:rsidR="00B1275A" w:rsidRDefault="00B1275A" w:rsidP="007D0965">
      <w:pPr>
        <w:pStyle w:val="Body"/>
        <w:spacing w:line="360" w:lineRule="auto"/>
        <w:contextualSpacing/>
        <w:jc w:val="both"/>
        <w:rPr>
          <w:rFonts w:ascii="Times New Roman" w:hAnsi="Times New Roman" w:cs="Times New Roman"/>
          <w:iCs/>
          <w:sz w:val="24"/>
          <w:szCs w:val="24"/>
        </w:rPr>
      </w:pPr>
    </w:p>
    <w:p w:rsidR="00B1275A" w:rsidRDefault="00B1275A" w:rsidP="007D0965">
      <w:pPr>
        <w:pStyle w:val="Body"/>
        <w:spacing w:line="360" w:lineRule="auto"/>
        <w:contextualSpacing/>
        <w:jc w:val="both"/>
        <w:rPr>
          <w:rFonts w:ascii="Times New Roman" w:hAnsi="Times New Roman" w:cs="Times New Roman"/>
          <w:iCs/>
          <w:sz w:val="24"/>
          <w:szCs w:val="24"/>
        </w:rPr>
      </w:pPr>
    </w:p>
    <w:p w:rsidR="00B1275A" w:rsidRDefault="00B1275A" w:rsidP="007D0965">
      <w:pPr>
        <w:pStyle w:val="Body"/>
        <w:spacing w:line="360" w:lineRule="auto"/>
        <w:contextualSpacing/>
        <w:jc w:val="both"/>
        <w:rPr>
          <w:rFonts w:ascii="Times New Roman" w:hAnsi="Times New Roman" w:cs="Times New Roman"/>
          <w:iCs/>
          <w:sz w:val="24"/>
          <w:szCs w:val="24"/>
        </w:rPr>
      </w:pPr>
    </w:p>
    <w:p w:rsidR="00B1275A" w:rsidRDefault="00B1275A" w:rsidP="007D0965">
      <w:pPr>
        <w:pStyle w:val="Body"/>
        <w:spacing w:line="360" w:lineRule="auto"/>
        <w:contextualSpacing/>
        <w:jc w:val="both"/>
        <w:rPr>
          <w:rFonts w:ascii="Times New Roman" w:hAnsi="Times New Roman" w:cs="Times New Roman"/>
          <w:iCs/>
          <w:sz w:val="24"/>
          <w:szCs w:val="24"/>
        </w:rPr>
      </w:pPr>
    </w:p>
    <w:p w:rsidR="00B1275A" w:rsidRDefault="00B1275A" w:rsidP="007D0965">
      <w:pPr>
        <w:pStyle w:val="Body"/>
        <w:spacing w:line="360" w:lineRule="auto"/>
        <w:contextualSpacing/>
        <w:jc w:val="both"/>
        <w:rPr>
          <w:rFonts w:ascii="Times New Roman" w:hAnsi="Times New Roman" w:cs="Times New Roman"/>
          <w:iCs/>
          <w:sz w:val="24"/>
          <w:szCs w:val="24"/>
        </w:rPr>
      </w:pPr>
    </w:p>
    <w:p w:rsidR="00B1275A" w:rsidRDefault="00B1275A" w:rsidP="007D0965">
      <w:pPr>
        <w:pStyle w:val="Body"/>
        <w:spacing w:line="360" w:lineRule="auto"/>
        <w:contextualSpacing/>
        <w:jc w:val="both"/>
        <w:rPr>
          <w:rFonts w:ascii="Times New Roman" w:hAnsi="Times New Roman" w:cs="Times New Roman"/>
          <w:iCs/>
          <w:sz w:val="24"/>
          <w:szCs w:val="24"/>
        </w:rPr>
      </w:pPr>
    </w:p>
    <w:p w:rsidR="00B1275A" w:rsidRDefault="00B1275A" w:rsidP="007D0965">
      <w:pPr>
        <w:pStyle w:val="Body"/>
        <w:spacing w:line="360" w:lineRule="auto"/>
        <w:contextualSpacing/>
        <w:jc w:val="both"/>
        <w:rPr>
          <w:rFonts w:ascii="Times New Roman" w:hAnsi="Times New Roman" w:cs="Times New Roman"/>
          <w:iCs/>
          <w:sz w:val="24"/>
          <w:szCs w:val="24"/>
        </w:rPr>
      </w:pPr>
    </w:p>
    <w:p w:rsidR="00B1275A" w:rsidRDefault="00B1275A" w:rsidP="007D0965">
      <w:pPr>
        <w:pStyle w:val="Body"/>
        <w:spacing w:line="360" w:lineRule="auto"/>
        <w:contextualSpacing/>
        <w:jc w:val="both"/>
        <w:rPr>
          <w:rFonts w:ascii="Times New Roman" w:hAnsi="Times New Roman" w:cs="Times New Roman"/>
          <w:iCs/>
          <w:sz w:val="24"/>
          <w:szCs w:val="24"/>
        </w:rPr>
      </w:pPr>
    </w:p>
    <w:p w:rsidR="000D653E" w:rsidRDefault="00057087" w:rsidP="007D0965">
      <w:pPr>
        <w:pStyle w:val="Heading1"/>
        <w:spacing w:line="360" w:lineRule="auto"/>
      </w:pPr>
      <w:bookmarkStart w:id="0" w:name="_Toc450577187"/>
      <w:r>
        <w:lastRenderedPageBreak/>
        <w:t>Introduction</w:t>
      </w:r>
      <w:bookmarkEnd w:id="0"/>
    </w:p>
    <w:p w:rsidR="008D5B0B" w:rsidRDefault="008D5B0B" w:rsidP="007D0965">
      <w:pPr>
        <w:pStyle w:val="Body"/>
        <w:spacing w:line="360" w:lineRule="auto"/>
        <w:contextualSpacing/>
        <w:jc w:val="both"/>
        <w:rPr>
          <w:rFonts w:ascii="Times New Roman" w:hAnsi="Times New Roman" w:cs="Times New Roman"/>
          <w:iCs/>
          <w:sz w:val="24"/>
          <w:szCs w:val="24"/>
        </w:rPr>
      </w:pPr>
    </w:p>
    <w:p w:rsidR="00447BB5" w:rsidRDefault="00447BB5" w:rsidP="007D0965">
      <w:pPr>
        <w:pStyle w:val="Body"/>
        <w:spacing w:line="360" w:lineRule="auto"/>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Accounting concepts are broad set of broad accounting principles devised for providing basic framework for financial accounting and reporting. Accounting concepts ensure users of financial statement </w:t>
      </w:r>
      <w:r w:rsidR="00B96A9E">
        <w:rPr>
          <w:rFonts w:ascii="Times New Roman" w:hAnsi="Times New Roman" w:cs="Times New Roman"/>
          <w:iCs/>
          <w:sz w:val="24"/>
          <w:szCs w:val="24"/>
        </w:rPr>
        <w:t>are not deviated</w:t>
      </w:r>
      <w:r>
        <w:rPr>
          <w:rFonts w:ascii="Times New Roman" w:hAnsi="Times New Roman" w:cs="Times New Roman"/>
          <w:iCs/>
          <w:sz w:val="24"/>
          <w:szCs w:val="24"/>
        </w:rPr>
        <w:t xml:space="preserve"> by adoption and </w:t>
      </w:r>
      <w:r w:rsidR="00B96A9E">
        <w:rPr>
          <w:rFonts w:ascii="Times New Roman" w:hAnsi="Times New Roman" w:cs="Times New Roman"/>
          <w:iCs/>
          <w:sz w:val="24"/>
          <w:szCs w:val="24"/>
        </w:rPr>
        <w:t>implementation</w:t>
      </w:r>
      <w:r>
        <w:rPr>
          <w:rFonts w:ascii="Times New Roman" w:hAnsi="Times New Roman" w:cs="Times New Roman"/>
          <w:iCs/>
          <w:sz w:val="24"/>
          <w:szCs w:val="24"/>
        </w:rPr>
        <w:t xml:space="preserve"> of accounting policies. </w:t>
      </w:r>
      <w:r w:rsidR="00DD540F">
        <w:rPr>
          <w:rFonts w:ascii="Times New Roman" w:hAnsi="Times New Roman" w:cs="Times New Roman"/>
          <w:iCs/>
          <w:sz w:val="24"/>
          <w:szCs w:val="24"/>
        </w:rPr>
        <w:t xml:space="preserve">Since financial reporting involves significant professional judgments, accountants must consider </w:t>
      </w:r>
      <w:r w:rsidR="00246034">
        <w:rPr>
          <w:rFonts w:ascii="Times New Roman" w:hAnsi="Times New Roman" w:cs="Times New Roman"/>
          <w:iCs/>
          <w:sz w:val="24"/>
          <w:szCs w:val="24"/>
        </w:rPr>
        <w:t>adoption</w:t>
      </w:r>
      <w:r w:rsidR="00DD540F">
        <w:rPr>
          <w:rFonts w:ascii="Times New Roman" w:hAnsi="Times New Roman" w:cs="Times New Roman"/>
          <w:iCs/>
          <w:sz w:val="24"/>
          <w:szCs w:val="24"/>
        </w:rPr>
        <w:t xml:space="preserve"> of</w:t>
      </w:r>
      <w:r w:rsidR="006E4341">
        <w:rPr>
          <w:rFonts w:ascii="Times New Roman" w:hAnsi="Times New Roman" w:cs="Times New Roman"/>
          <w:iCs/>
          <w:sz w:val="24"/>
          <w:szCs w:val="24"/>
        </w:rPr>
        <w:t xml:space="preserve"> consistent </w:t>
      </w:r>
      <w:r w:rsidR="00246034">
        <w:rPr>
          <w:rFonts w:ascii="Times New Roman" w:hAnsi="Times New Roman" w:cs="Times New Roman"/>
          <w:iCs/>
          <w:sz w:val="24"/>
          <w:szCs w:val="24"/>
        </w:rPr>
        <w:t>accounting principles</w:t>
      </w:r>
      <w:r w:rsidR="006E4341">
        <w:rPr>
          <w:rFonts w:ascii="Times New Roman" w:hAnsi="Times New Roman" w:cs="Times New Roman"/>
          <w:iCs/>
          <w:sz w:val="24"/>
          <w:szCs w:val="24"/>
        </w:rPr>
        <w:t xml:space="preserve">. </w:t>
      </w:r>
      <w:r w:rsidR="008D5B0B">
        <w:rPr>
          <w:rFonts w:ascii="Times New Roman" w:hAnsi="Times New Roman" w:cs="Times New Roman"/>
          <w:iCs/>
          <w:sz w:val="24"/>
          <w:szCs w:val="24"/>
        </w:rPr>
        <w:t xml:space="preserve">Asset valuation and asset recording in books of accounts is an important </w:t>
      </w:r>
      <w:r w:rsidR="009E3DD4">
        <w:rPr>
          <w:rFonts w:ascii="Times New Roman" w:hAnsi="Times New Roman" w:cs="Times New Roman"/>
          <w:iCs/>
          <w:sz w:val="24"/>
          <w:szCs w:val="24"/>
        </w:rPr>
        <w:t xml:space="preserve">component of financial </w:t>
      </w:r>
      <w:r w:rsidR="00D748B8">
        <w:rPr>
          <w:rFonts w:ascii="Times New Roman" w:hAnsi="Times New Roman" w:cs="Times New Roman"/>
          <w:iCs/>
          <w:sz w:val="24"/>
          <w:szCs w:val="24"/>
        </w:rPr>
        <w:t>statement</w:t>
      </w:r>
      <w:r w:rsidR="00396862">
        <w:rPr>
          <w:rFonts w:ascii="Times New Roman" w:hAnsi="Times New Roman" w:cs="Times New Roman"/>
          <w:iCs/>
          <w:sz w:val="24"/>
          <w:szCs w:val="24"/>
        </w:rPr>
        <w:t xml:space="preserve"> (</w:t>
      </w:r>
      <w:r w:rsidR="00396862">
        <w:rPr>
          <w:rFonts w:ascii="Times New Roman" w:hAnsi="Times New Roman" w:cs="Times New Roman"/>
          <w:sz w:val="24"/>
          <w:szCs w:val="24"/>
        </w:rPr>
        <w:t xml:space="preserve">Babawale, G., Ajayi, C., </w:t>
      </w:r>
      <w:r w:rsidR="00396862" w:rsidRPr="003A15BC">
        <w:rPr>
          <w:rFonts w:ascii="Times New Roman" w:hAnsi="Times New Roman" w:cs="Times New Roman"/>
          <w:sz w:val="24"/>
          <w:szCs w:val="24"/>
        </w:rPr>
        <w:t>2011)</w:t>
      </w:r>
      <w:r w:rsidR="009E3DD4">
        <w:rPr>
          <w:rFonts w:ascii="Times New Roman" w:hAnsi="Times New Roman" w:cs="Times New Roman"/>
          <w:iCs/>
          <w:sz w:val="24"/>
          <w:szCs w:val="24"/>
        </w:rPr>
        <w:t xml:space="preserve">. </w:t>
      </w:r>
      <w:r w:rsidR="00867038">
        <w:rPr>
          <w:rFonts w:ascii="Times New Roman" w:hAnsi="Times New Roman" w:cs="Times New Roman"/>
          <w:iCs/>
          <w:sz w:val="24"/>
          <w:szCs w:val="24"/>
        </w:rPr>
        <w:t xml:space="preserve">Under International Financial Reporting System, </w:t>
      </w:r>
      <w:r w:rsidR="00156DF4">
        <w:rPr>
          <w:rFonts w:ascii="Times New Roman" w:hAnsi="Times New Roman" w:cs="Times New Roman"/>
          <w:iCs/>
          <w:sz w:val="24"/>
          <w:szCs w:val="24"/>
        </w:rPr>
        <w:t xml:space="preserve">assets </w:t>
      </w:r>
      <w:r w:rsidR="0062645F">
        <w:rPr>
          <w:rFonts w:ascii="Times New Roman" w:hAnsi="Times New Roman" w:cs="Times New Roman"/>
          <w:iCs/>
          <w:sz w:val="24"/>
          <w:szCs w:val="24"/>
        </w:rPr>
        <w:t xml:space="preserve">cannot be </w:t>
      </w:r>
      <w:r w:rsidR="00F3244A">
        <w:rPr>
          <w:rFonts w:ascii="Times New Roman" w:hAnsi="Times New Roman" w:cs="Times New Roman"/>
          <w:iCs/>
          <w:sz w:val="24"/>
          <w:szCs w:val="24"/>
        </w:rPr>
        <w:t xml:space="preserve">booked at price </w:t>
      </w:r>
      <w:r w:rsidR="00F3244A" w:rsidRPr="00AA3D0F">
        <w:rPr>
          <w:rFonts w:ascii="Times New Roman" w:hAnsi="Times New Roman" w:cs="Times New Roman"/>
          <w:iCs/>
          <w:sz w:val="24"/>
          <w:szCs w:val="24"/>
        </w:rPr>
        <w:t>more than their net realizable value and the net present value of their future income streams</w:t>
      </w:r>
      <w:r w:rsidR="00F3244A">
        <w:rPr>
          <w:rFonts w:ascii="Times New Roman" w:hAnsi="Times New Roman" w:cs="Times New Roman"/>
          <w:iCs/>
          <w:sz w:val="24"/>
          <w:szCs w:val="24"/>
        </w:rPr>
        <w:t xml:space="preserve"> in comparison to </w:t>
      </w:r>
      <w:r w:rsidR="00F3244A" w:rsidRPr="00AA3D0F">
        <w:rPr>
          <w:rFonts w:ascii="Times New Roman" w:hAnsi="Times New Roman" w:cs="Times New Roman"/>
          <w:iCs/>
          <w:sz w:val="24"/>
          <w:szCs w:val="24"/>
        </w:rPr>
        <w:t>recoverable amount</w:t>
      </w:r>
      <w:r w:rsidR="00F3244A">
        <w:rPr>
          <w:rFonts w:ascii="Times New Roman" w:hAnsi="Times New Roman" w:cs="Times New Roman"/>
          <w:iCs/>
          <w:sz w:val="24"/>
          <w:szCs w:val="24"/>
        </w:rPr>
        <w:t xml:space="preserve">. In </w:t>
      </w:r>
      <w:r w:rsidR="00FB44C6">
        <w:rPr>
          <w:rFonts w:ascii="Times New Roman" w:hAnsi="Times New Roman" w:cs="Times New Roman"/>
          <w:iCs/>
          <w:sz w:val="24"/>
          <w:szCs w:val="24"/>
        </w:rPr>
        <w:t>this</w:t>
      </w:r>
      <w:r w:rsidR="00F3244A">
        <w:rPr>
          <w:rFonts w:ascii="Times New Roman" w:hAnsi="Times New Roman" w:cs="Times New Roman"/>
          <w:iCs/>
          <w:sz w:val="24"/>
          <w:szCs w:val="24"/>
        </w:rPr>
        <w:t xml:space="preserve"> report, </w:t>
      </w:r>
      <w:r w:rsidR="002F48CC">
        <w:rPr>
          <w:rFonts w:ascii="Times New Roman" w:hAnsi="Times New Roman" w:cs="Times New Roman"/>
          <w:iCs/>
          <w:sz w:val="24"/>
          <w:szCs w:val="24"/>
        </w:rPr>
        <w:t xml:space="preserve">we </w:t>
      </w:r>
      <w:r w:rsidR="0026314A">
        <w:rPr>
          <w:rFonts w:ascii="Times New Roman" w:hAnsi="Times New Roman" w:cs="Times New Roman"/>
          <w:iCs/>
          <w:sz w:val="24"/>
          <w:szCs w:val="24"/>
        </w:rPr>
        <w:t>discuss</w:t>
      </w:r>
      <w:r w:rsidR="002F48CC">
        <w:rPr>
          <w:rFonts w:ascii="Times New Roman" w:hAnsi="Times New Roman" w:cs="Times New Roman"/>
          <w:iCs/>
          <w:sz w:val="24"/>
          <w:szCs w:val="24"/>
        </w:rPr>
        <w:t xml:space="preserve"> </w:t>
      </w:r>
      <w:r w:rsidR="0026314A">
        <w:rPr>
          <w:rFonts w:ascii="Times New Roman" w:hAnsi="Times New Roman" w:cs="Times New Roman"/>
          <w:iCs/>
          <w:sz w:val="24"/>
          <w:szCs w:val="24"/>
        </w:rPr>
        <w:t xml:space="preserve">how Rio </w:t>
      </w:r>
      <w:r w:rsidR="00E7000F">
        <w:rPr>
          <w:rFonts w:ascii="Times New Roman" w:hAnsi="Times New Roman" w:cs="Times New Roman"/>
          <w:iCs/>
          <w:sz w:val="24"/>
          <w:szCs w:val="24"/>
        </w:rPr>
        <w:t>Tinto</w:t>
      </w:r>
      <w:r w:rsidR="0026314A">
        <w:rPr>
          <w:rFonts w:ascii="Times New Roman" w:hAnsi="Times New Roman" w:cs="Times New Roman"/>
          <w:iCs/>
          <w:sz w:val="24"/>
          <w:szCs w:val="24"/>
        </w:rPr>
        <w:t xml:space="preserve"> </w:t>
      </w:r>
      <w:r w:rsidR="00E7000F">
        <w:rPr>
          <w:rFonts w:ascii="Times New Roman" w:hAnsi="Times New Roman" w:cs="Times New Roman"/>
          <w:iCs/>
          <w:sz w:val="24"/>
          <w:szCs w:val="24"/>
        </w:rPr>
        <w:t xml:space="preserve">uses different accounting conventions and concepts for asset valuation and recording. </w:t>
      </w:r>
      <w:r w:rsidR="003169F1">
        <w:rPr>
          <w:rFonts w:ascii="Times New Roman" w:hAnsi="Times New Roman" w:cs="Times New Roman"/>
          <w:iCs/>
          <w:sz w:val="24"/>
          <w:szCs w:val="24"/>
        </w:rPr>
        <w:t xml:space="preserve">In addition, the report highlights measurement </w:t>
      </w:r>
      <w:r w:rsidR="003169F1" w:rsidRPr="00AA3D0F">
        <w:rPr>
          <w:rFonts w:ascii="Times New Roman" w:hAnsi="Times New Roman" w:cs="Times New Roman"/>
          <w:bCs/>
          <w:iCs/>
          <w:sz w:val="24"/>
          <w:szCs w:val="24"/>
        </w:rPr>
        <w:t xml:space="preserve">problems </w:t>
      </w:r>
      <w:r w:rsidR="003169F1">
        <w:rPr>
          <w:rFonts w:ascii="Times New Roman" w:hAnsi="Times New Roman" w:cs="Times New Roman"/>
          <w:bCs/>
          <w:iCs/>
          <w:sz w:val="24"/>
          <w:szCs w:val="24"/>
        </w:rPr>
        <w:t>in the present context of</w:t>
      </w:r>
      <w:r w:rsidR="003169F1" w:rsidRPr="00AA3D0F">
        <w:rPr>
          <w:rFonts w:ascii="Times New Roman" w:hAnsi="Times New Roman" w:cs="Times New Roman"/>
          <w:bCs/>
          <w:iCs/>
          <w:sz w:val="24"/>
          <w:szCs w:val="24"/>
        </w:rPr>
        <w:t xml:space="preserve"> AASB / IASB standards and conceptual framework</w:t>
      </w:r>
      <w:r w:rsidR="003169F1">
        <w:rPr>
          <w:rFonts w:ascii="Times New Roman" w:hAnsi="Times New Roman" w:cs="Times New Roman"/>
          <w:bCs/>
          <w:iCs/>
          <w:sz w:val="24"/>
          <w:szCs w:val="24"/>
        </w:rPr>
        <w:t xml:space="preserve">. </w:t>
      </w:r>
      <w:r w:rsidR="007621A6">
        <w:rPr>
          <w:rFonts w:ascii="Times New Roman" w:hAnsi="Times New Roman" w:cs="Times New Roman"/>
          <w:bCs/>
          <w:iCs/>
          <w:sz w:val="24"/>
          <w:szCs w:val="24"/>
        </w:rPr>
        <w:t xml:space="preserve">The report also lays emphasis on </w:t>
      </w:r>
      <w:r w:rsidR="007621A6" w:rsidRPr="009A19D8">
        <w:rPr>
          <w:rFonts w:ascii="Times New Roman" w:hAnsi="Times New Roman" w:cs="Times New Roman"/>
          <w:iCs/>
          <w:sz w:val="24"/>
          <w:szCs w:val="24"/>
        </w:rPr>
        <w:t xml:space="preserve">significance of using different ‘processes’ of measurement for estimates achievement. </w:t>
      </w:r>
    </w:p>
    <w:p w:rsidR="002E3CBA" w:rsidRDefault="002E3CBA" w:rsidP="007D0965">
      <w:pPr>
        <w:pStyle w:val="Body"/>
        <w:spacing w:line="360" w:lineRule="auto"/>
        <w:contextualSpacing/>
        <w:jc w:val="both"/>
        <w:rPr>
          <w:rFonts w:ascii="Times New Roman" w:hAnsi="Times New Roman" w:cs="Times New Roman"/>
          <w:iCs/>
          <w:sz w:val="24"/>
          <w:szCs w:val="24"/>
        </w:rPr>
      </w:pPr>
    </w:p>
    <w:p w:rsidR="007C028D" w:rsidRDefault="007C028D" w:rsidP="007D0965">
      <w:pPr>
        <w:pStyle w:val="Heading1"/>
        <w:spacing w:line="360" w:lineRule="auto"/>
      </w:pPr>
      <w:bookmarkStart w:id="1" w:name="_Toc450577188"/>
      <w:r>
        <w:t>Accounting Concepts and relevant examples</w:t>
      </w:r>
      <w:bookmarkEnd w:id="1"/>
    </w:p>
    <w:p w:rsidR="00132D97" w:rsidRDefault="00132D97" w:rsidP="007D0965">
      <w:pPr>
        <w:pStyle w:val="Body"/>
        <w:spacing w:line="360" w:lineRule="auto"/>
        <w:contextualSpacing/>
        <w:jc w:val="both"/>
        <w:rPr>
          <w:rFonts w:ascii="Times New Roman" w:hAnsi="Times New Roman" w:cs="Times New Roman"/>
          <w:iCs/>
          <w:sz w:val="24"/>
          <w:szCs w:val="24"/>
        </w:rPr>
      </w:pPr>
    </w:p>
    <w:p w:rsidR="009A19D8" w:rsidRDefault="00132D97" w:rsidP="007D0965">
      <w:pPr>
        <w:spacing w:line="360" w:lineRule="auto"/>
        <w:jc w:val="both"/>
        <w:rPr>
          <w:rFonts w:ascii="Times New Roman" w:eastAsia="Arial Unicode MS" w:hAnsi="Times New Roman" w:cs="Times New Roman"/>
          <w:iCs/>
          <w:color w:val="000000"/>
          <w:sz w:val="24"/>
          <w:szCs w:val="24"/>
          <w:bdr w:val="nil"/>
        </w:rPr>
      </w:pPr>
      <w:r w:rsidRPr="009A19D8">
        <w:rPr>
          <w:rFonts w:ascii="Times New Roman" w:eastAsia="Arial Unicode MS" w:hAnsi="Times New Roman" w:cs="Times New Roman"/>
          <w:iCs/>
          <w:color w:val="000000"/>
          <w:sz w:val="24"/>
          <w:szCs w:val="24"/>
          <w:bdr w:val="nil"/>
        </w:rPr>
        <w:t xml:space="preserve">Rio Tinto Limited is engaged in finding, mining and processing of mineral resources. The company is listed on Australian Stock Exchange. The company prepares financial statement on a going concern basis in accordance with Companies Act 2006. </w:t>
      </w:r>
      <w:r w:rsidR="00E66435" w:rsidRPr="009A19D8">
        <w:rPr>
          <w:rFonts w:ascii="Times New Roman" w:eastAsia="Arial Unicode MS" w:hAnsi="Times New Roman" w:cs="Times New Roman"/>
          <w:iCs/>
          <w:color w:val="000000"/>
          <w:sz w:val="24"/>
          <w:szCs w:val="24"/>
          <w:bdr w:val="nil"/>
        </w:rPr>
        <w:t xml:space="preserve">Rio Tinto’s management </w:t>
      </w:r>
      <w:r w:rsidR="00793DA1" w:rsidRPr="009A19D8">
        <w:rPr>
          <w:rFonts w:ascii="Times New Roman" w:eastAsia="Arial Unicode MS" w:hAnsi="Times New Roman" w:cs="Times New Roman"/>
          <w:iCs/>
          <w:color w:val="000000"/>
          <w:sz w:val="24"/>
          <w:szCs w:val="24"/>
          <w:bdr w:val="nil"/>
        </w:rPr>
        <w:t xml:space="preserve">acknowledges the </w:t>
      </w:r>
      <w:r w:rsidR="00596A98" w:rsidRPr="009A19D8">
        <w:rPr>
          <w:rFonts w:ascii="Times New Roman" w:eastAsia="Arial Unicode MS" w:hAnsi="Times New Roman" w:cs="Times New Roman"/>
          <w:iCs/>
          <w:color w:val="000000"/>
          <w:sz w:val="24"/>
          <w:szCs w:val="24"/>
          <w:bdr w:val="nil"/>
        </w:rPr>
        <w:t>fact that preparation of financial statements requires assumptions, assumptions and estimates</w:t>
      </w:r>
      <w:r w:rsidR="00396862">
        <w:rPr>
          <w:rFonts w:ascii="Times New Roman" w:eastAsia="Arial Unicode MS" w:hAnsi="Times New Roman" w:cs="Times New Roman"/>
          <w:iCs/>
          <w:color w:val="000000"/>
          <w:sz w:val="24"/>
          <w:szCs w:val="24"/>
          <w:bdr w:val="nil"/>
        </w:rPr>
        <w:t xml:space="preserve"> (</w:t>
      </w:r>
      <w:r w:rsidR="00396862">
        <w:rPr>
          <w:rFonts w:ascii="Times New Roman" w:eastAsia="Times New Roman" w:hAnsi="Times New Roman" w:cs="Times New Roman"/>
          <w:sz w:val="24"/>
          <w:szCs w:val="24"/>
        </w:rPr>
        <w:t xml:space="preserve">Babawale, G., </w:t>
      </w:r>
      <w:r w:rsidR="00396862" w:rsidRPr="005E7194">
        <w:rPr>
          <w:rFonts w:ascii="Times New Roman" w:eastAsia="Times New Roman" w:hAnsi="Times New Roman" w:cs="Times New Roman"/>
          <w:sz w:val="24"/>
          <w:szCs w:val="24"/>
        </w:rPr>
        <w:t>2013)</w:t>
      </w:r>
      <w:r w:rsidR="00596A98" w:rsidRPr="009A19D8">
        <w:rPr>
          <w:rFonts w:ascii="Times New Roman" w:eastAsia="Arial Unicode MS" w:hAnsi="Times New Roman" w:cs="Times New Roman"/>
          <w:iCs/>
          <w:color w:val="000000"/>
          <w:sz w:val="24"/>
          <w:szCs w:val="24"/>
          <w:bdr w:val="nil"/>
        </w:rPr>
        <w:t xml:space="preserve">. </w:t>
      </w:r>
      <w:r w:rsidR="0096319A" w:rsidRPr="009A19D8">
        <w:rPr>
          <w:rFonts w:ascii="Times New Roman" w:eastAsia="Arial Unicode MS" w:hAnsi="Times New Roman" w:cs="Times New Roman"/>
          <w:iCs/>
          <w:color w:val="000000"/>
          <w:sz w:val="24"/>
          <w:szCs w:val="24"/>
          <w:bdr w:val="nil"/>
        </w:rPr>
        <w:t xml:space="preserve">The judgments are used </w:t>
      </w:r>
      <w:r w:rsidR="003F3C15" w:rsidRPr="009A19D8">
        <w:rPr>
          <w:rFonts w:ascii="Times New Roman" w:eastAsia="Arial Unicode MS" w:hAnsi="Times New Roman" w:cs="Times New Roman"/>
          <w:iCs/>
          <w:color w:val="000000"/>
          <w:sz w:val="24"/>
          <w:szCs w:val="24"/>
          <w:bdr w:val="nil"/>
        </w:rPr>
        <w:t xml:space="preserve">in application of accounting policies and </w:t>
      </w:r>
      <w:r w:rsidR="00DA7BF3" w:rsidRPr="009A19D8">
        <w:rPr>
          <w:rFonts w:ascii="Times New Roman" w:eastAsia="Arial Unicode MS" w:hAnsi="Times New Roman" w:cs="Times New Roman"/>
          <w:iCs/>
          <w:color w:val="000000"/>
          <w:sz w:val="24"/>
          <w:szCs w:val="24"/>
          <w:bdr w:val="nil"/>
        </w:rPr>
        <w:t xml:space="preserve">in critical accounting estimation. </w:t>
      </w:r>
      <w:r w:rsidR="00720BF8" w:rsidRPr="009A19D8">
        <w:rPr>
          <w:rFonts w:ascii="Times New Roman" w:eastAsia="Arial Unicode MS" w:hAnsi="Times New Roman" w:cs="Times New Roman"/>
          <w:iCs/>
          <w:color w:val="000000"/>
          <w:sz w:val="24"/>
          <w:szCs w:val="24"/>
          <w:bdr w:val="nil"/>
        </w:rPr>
        <w:t>The company’s management</w:t>
      </w:r>
      <w:r w:rsidR="00836372" w:rsidRPr="009A19D8">
        <w:rPr>
          <w:rFonts w:ascii="Times New Roman" w:eastAsia="Arial Unicode MS" w:hAnsi="Times New Roman" w:cs="Times New Roman"/>
          <w:iCs/>
          <w:color w:val="000000"/>
          <w:sz w:val="24"/>
          <w:szCs w:val="24"/>
          <w:bdr w:val="nil"/>
        </w:rPr>
        <w:t xml:space="preserve"> base their </w:t>
      </w:r>
      <w:r w:rsidR="000B7A0C" w:rsidRPr="009A19D8">
        <w:rPr>
          <w:rFonts w:ascii="Times New Roman" w:eastAsia="Arial Unicode MS" w:hAnsi="Times New Roman" w:cs="Times New Roman"/>
          <w:iCs/>
          <w:color w:val="000000"/>
          <w:sz w:val="24"/>
          <w:szCs w:val="24"/>
          <w:bdr w:val="nil"/>
        </w:rPr>
        <w:t xml:space="preserve">judgments, </w:t>
      </w:r>
      <w:r w:rsidR="0084129E" w:rsidRPr="009A19D8">
        <w:rPr>
          <w:rFonts w:ascii="Times New Roman" w:eastAsia="Arial Unicode MS" w:hAnsi="Times New Roman" w:cs="Times New Roman"/>
          <w:iCs/>
          <w:color w:val="000000"/>
          <w:sz w:val="24"/>
          <w:szCs w:val="24"/>
          <w:bdr w:val="nil"/>
        </w:rPr>
        <w:t>estimates</w:t>
      </w:r>
      <w:r w:rsidR="000B7A0C" w:rsidRPr="009A19D8">
        <w:rPr>
          <w:rFonts w:ascii="Times New Roman" w:eastAsia="Arial Unicode MS" w:hAnsi="Times New Roman" w:cs="Times New Roman"/>
          <w:iCs/>
          <w:color w:val="000000"/>
          <w:sz w:val="24"/>
          <w:szCs w:val="24"/>
          <w:bdr w:val="nil"/>
        </w:rPr>
        <w:t xml:space="preserve"> and assumptions </w:t>
      </w:r>
      <w:r w:rsidR="00A70DBF" w:rsidRPr="009A19D8">
        <w:rPr>
          <w:rFonts w:ascii="Times New Roman" w:eastAsia="Arial Unicode MS" w:hAnsi="Times New Roman" w:cs="Times New Roman"/>
          <w:iCs/>
          <w:color w:val="000000"/>
          <w:sz w:val="24"/>
          <w:szCs w:val="24"/>
          <w:bdr w:val="nil"/>
        </w:rPr>
        <w:t xml:space="preserve">upon relevant </w:t>
      </w:r>
      <w:r w:rsidR="00207E32" w:rsidRPr="009A19D8">
        <w:rPr>
          <w:rFonts w:ascii="Times New Roman" w:eastAsia="Arial Unicode MS" w:hAnsi="Times New Roman" w:cs="Times New Roman"/>
          <w:iCs/>
          <w:color w:val="000000"/>
          <w:sz w:val="24"/>
          <w:szCs w:val="24"/>
          <w:bdr w:val="nil"/>
        </w:rPr>
        <w:t>facts,</w:t>
      </w:r>
      <w:r w:rsidR="00A70DBF" w:rsidRPr="009A19D8">
        <w:rPr>
          <w:rFonts w:ascii="Times New Roman" w:eastAsia="Arial Unicode MS" w:hAnsi="Times New Roman" w:cs="Times New Roman"/>
          <w:iCs/>
          <w:color w:val="000000"/>
          <w:sz w:val="24"/>
          <w:szCs w:val="24"/>
          <w:bdr w:val="nil"/>
        </w:rPr>
        <w:t xml:space="preserve"> information</w:t>
      </w:r>
      <w:r w:rsidR="00207E32" w:rsidRPr="009A19D8">
        <w:rPr>
          <w:rFonts w:ascii="Times New Roman" w:eastAsia="Arial Unicode MS" w:hAnsi="Times New Roman" w:cs="Times New Roman"/>
          <w:iCs/>
          <w:color w:val="000000"/>
          <w:sz w:val="24"/>
          <w:szCs w:val="24"/>
          <w:bdr w:val="nil"/>
        </w:rPr>
        <w:t xml:space="preserve"> and previous experience</w:t>
      </w:r>
      <w:r w:rsidR="00A70DBF" w:rsidRPr="009A19D8">
        <w:rPr>
          <w:rFonts w:ascii="Times New Roman" w:eastAsia="Arial Unicode MS" w:hAnsi="Times New Roman" w:cs="Times New Roman"/>
          <w:iCs/>
          <w:color w:val="000000"/>
          <w:sz w:val="24"/>
          <w:szCs w:val="24"/>
          <w:bdr w:val="nil"/>
        </w:rPr>
        <w:t xml:space="preserve">. </w:t>
      </w:r>
      <w:r w:rsidR="003F71C7" w:rsidRPr="009A19D8">
        <w:rPr>
          <w:rFonts w:ascii="Times New Roman" w:eastAsia="Arial Unicode MS" w:hAnsi="Times New Roman" w:cs="Times New Roman"/>
          <w:iCs/>
          <w:color w:val="000000"/>
          <w:sz w:val="24"/>
          <w:szCs w:val="24"/>
          <w:bdr w:val="nil"/>
        </w:rPr>
        <w:t xml:space="preserve">The management admits that </w:t>
      </w:r>
      <w:r w:rsidR="009A19D8" w:rsidRPr="009A19D8">
        <w:rPr>
          <w:rFonts w:ascii="Times New Roman" w:eastAsia="Arial Unicode MS" w:hAnsi="Times New Roman" w:cs="Times New Roman"/>
          <w:iCs/>
          <w:color w:val="000000"/>
          <w:sz w:val="24"/>
          <w:szCs w:val="24"/>
          <w:bdr w:val="nil"/>
        </w:rPr>
        <w:t>but actual results may differ materially from the amounts included in the financial statements</w:t>
      </w:r>
      <w:r w:rsidR="00890F85">
        <w:rPr>
          <w:rFonts w:ascii="Times New Roman" w:eastAsia="Arial Unicode MS" w:hAnsi="Times New Roman" w:cs="Times New Roman"/>
          <w:iCs/>
          <w:color w:val="000000"/>
          <w:sz w:val="24"/>
          <w:szCs w:val="24"/>
          <w:bdr w:val="nil"/>
        </w:rPr>
        <w:t xml:space="preserve">. Review of asset carrying value and estimation of asset lives are key areas of </w:t>
      </w:r>
      <w:r w:rsidR="00814AC3">
        <w:rPr>
          <w:rFonts w:ascii="Times New Roman" w:eastAsia="Arial Unicode MS" w:hAnsi="Times New Roman" w:cs="Times New Roman"/>
          <w:iCs/>
          <w:color w:val="000000"/>
          <w:sz w:val="24"/>
          <w:szCs w:val="24"/>
          <w:bdr w:val="nil"/>
        </w:rPr>
        <w:t xml:space="preserve">judgment involving estimation </w:t>
      </w:r>
      <w:r w:rsidR="00BE7A9E">
        <w:rPr>
          <w:rFonts w:ascii="Times New Roman" w:eastAsia="Arial Unicode MS" w:hAnsi="Times New Roman" w:cs="Times New Roman"/>
          <w:iCs/>
          <w:color w:val="000000"/>
          <w:sz w:val="24"/>
          <w:szCs w:val="24"/>
          <w:bdr w:val="nil"/>
        </w:rPr>
        <w:t>uncertainty</w:t>
      </w:r>
      <w:r w:rsidR="00396862">
        <w:rPr>
          <w:rFonts w:ascii="Times New Roman" w:eastAsia="Arial Unicode MS" w:hAnsi="Times New Roman" w:cs="Times New Roman"/>
          <w:iCs/>
          <w:color w:val="000000"/>
          <w:sz w:val="24"/>
          <w:szCs w:val="24"/>
          <w:bdr w:val="nil"/>
        </w:rPr>
        <w:t xml:space="preserve"> (</w:t>
      </w:r>
      <w:r w:rsidR="00396862">
        <w:rPr>
          <w:rFonts w:ascii="Times New Roman" w:eastAsia="Times New Roman" w:hAnsi="Times New Roman" w:cs="Times New Roman"/>
          <w:sz w:val="24"/>
          <w:szCs w:val="24"/>
        </w:rPr>
        <w:t xml:space="preserve">Choudhury, M., </w:t>
      </w:r>
      <w:r w:rsidR="00396862" w:rsidRPr="00B546B6">
        <w:rPr>
          <w:rFonts w:ascii="Times New Roman" w:eastAsia="Times New Roman" w:hAnsi="Times New Roman" w:cs="Times New Roman"/>
          <w:sz w:val="24"/>
          <w:szCs w:val="24"/>
        </w:rPr>
        <w:t>2011)</w:t>
      </w:r>
      <w:r w:rsidR="00DA101A">
        <w:rPr>
          <w:rFonts w:ascii="Times New Roman" w:eastAsia="Arial Unicode MS" w:hAnsi="Times New Roman" w:cs="Times New Roman"/>
          <w:iCs/>
          <w:color w:val="000000"/>
          <w:sz w:val="24"/>
          <w:szCs w:val="24"/>
          <w:bdr w:val="nil"/>
        </w:rPr>
        <w:t xml:space="preserve">. </w:t>
      </w:r>
      <w:r w:rsidR="00BE7A9E">
        <w:rPr>
          <w:rFonts w:ascii="Times New Roman" w:eastAsia="Arial Unicode MS" w:hAnsi="Times New Roman" w:cs="Times New Roman"/>
          <w:iCs/>
          <w:color w:val="000000"/>
          <w:sz w:val="24"/>
          <w:szCs w:val="24"/>
          <w:bdr w:val="nil"/>
        </w:rPr>
        <w:t xml:space="preserve">The company </w:t>
      </w:r>
      <w:r w:rsidR="00DE28B5">
        <w:rPr>
          <w:rFonts w:ascii="Times New Roman" w:eastAsia="Arial Unicode MS" w:hAnsi="Times New Roman" w:cs="Times New Roman"/>
          <w:iCs/>
          <w:color w:val="000000"/>
          <w:sz w:val="24"/>
          <w:szCs w:val="24"/>
          <w:bdr w:val="nil"/>
        </w:rPr>
        <w:t xml:space="preserve">believes </w:t>
      </w:r>
      <w:r w:rsidR="00B53BEF">
        <w:rPr>
          <w:rFonts w:ascii="Times New Roman" w:eastAsia="Arial Unicode MS" w:hAnsi="Times New Roman" w:cs="Times New Roman"/>
          <w:iCs/>
          <w:color w:val="000000"/>
          <w:sz w:val="24"/>
          <w:szCs w:val="24"/>
          <w:bdr w:val="nil"/>
        </w:rPr>
        <w:t xml:space="preserve">factors such as </w:t>
      </w:r>
      <w:r w:rsidR="00B74BF7">
        <w:rPr>
          <w:rFonts w:ascii="Times New Roman" w:eastAsia="Arial Unicode MS" w:hAnsi="Times New Roman" w:cs="Times New Roman"/>
          <w:iCs/>
          <w:color w:val="000000"/>
          <w:sz w:val="24"/>
          <w:szCs w:val="24"/>
          <w:bdr w:val="nil"/>
        </w:rPr>
        <w:t>e</w:t>
      </w:r>
      <w:r w:rsidR="00B74BF7" w:rsidRPr="00B74BF7">
        <w:rPr>
          <w:rFonts w:ascii="Times New Roman" w:eastAsia="Arial Unicode MS" w:hAnsi="Times New Roman" w:cs="Times New Roman"/>
          <w:iCs/>
          <w:color w:val="000000"/>
          <w:sz w:val="24"/>
          <w:szCs w:val="24"/>
          <w:bdr w:val="nil"/>
        </w:rPr>
        <w:t>stimation of asset live</w:t>
      </w:r>
      <w:r w:rsidR="00B74E08" w:rsidRPr="00B74BF7">
        <w:rPr>
          <w:rFonts w:ascii="Times New Roman" w:eastAsia="Arial Unicode MS" w:hAnsi="Times New Roman" w:cs="Times New Roman"/>
          <w:iCs/>
          <w:color w:val="000000"/>
          <w:sz w:val="24"/>
          <w:szCs w:val="24"/>
          <w:bdr w:val="nil"/>
        </w:rPr>
        <w:t xml:space="preserve">, </w:t>
      </w:r>
      <w:r w:rsidR="00B74E08">
        <w:rPr>
          <w:rFonts w:ascii="Times New Roman" w:eastAsia="Arial Unicode MS" w:hAnsi="Times New Roman" w:cs="Times New Roman"/>
          <w:iCs/>
          <w:color w:val="000000"/>
          <w:sz w:val="24"/>
          <w:szCs w:val="24"/>
          <w:bdr w:val="nil"/>
        </w:rPr>
        <w:t>determination</w:t>
      </w:r>
      <w:r w:rsidR="00B74E08" w:rsidRPr="003E40CF">
        <w:rPr>
          <w:rFonts w:ascii="Times New Roman" w:eastAsia="Arial Unicode MS" w:hAnsi="Times New Roman" w:cs="Times New Roman"/>
          <w:iCs/>
          <w:color w:val="000000"/>
          <w:sz w:val="24"/>
          <w:szCs w:val="24"/>
          <w:bdr w:val="nil"/>
        </w:rPr>
        <w:t xml:space="preserve"> of ore reserve and mineral resource estimates</w:t>
      </w:r>
      <w:r w:rsidR="00B74E08">
        <w:t xml:space="preserve"> </w:t>
      </w:r>
      <w:r w:rsidR="003E40CF">
        <w:t xml:space="preserve">and contingencies </w:t>
      </w:r>
      <w:r w:rsidR="00C91178">
        <w:rPr>
          <w:rFonts w:ascii="Times New Roman" w:eastAsia="Arial Unicode MS" w:hAnsi="Times New Roman" w:cs="Times New Roman"/>
          <w:iCs/>
          <w:color w:val="000000"/>
          <w:sz w:val="24"/>
          <w:szCs w:val="24"/>
          <w:bdr w:val="nil"/>
        </w:rPr>
        <w:t>possessing significant risk to assets and liabilities</w:t>
      </w:r>
      <w:r w:rsidR="006D2FD5">
        <w:rPr>
          <w:rFonts w:ascii="Times New Roman" w:eastAsia="Arial Unicode MS" w:hAnsi="Times New Roman" w:cs="Times New Roman"/>
          <w:iCs/>
          <w:color w:val="000000"/>
          <w:sz w:val="24"/>
          <w:szCs w:val="24"/>
          <w:bdr w:val="nil"/>
        </w:rPr>
        <w:t xml:space="preserve"> valuation. </w:t>
      </w:r>
    </w:p>
    <w:p w:rsidR="000527ED" w:rsidRDefault="000527ED" w:rsidP="007D0965">
      <w:pPr>
        <w:spacing w:line="360" w:lineRule="auto"/>
        <w:jc w:val="both"/>
        <w:rPr>
          <w:rFonts w:ascii="Times New Roman" w:eastAsia="Arial Unicode MS" w:hAnsi="Times New Roman" w:cs="Times New Roman"/>
          <w:iCs/>
          <w:color w:val="000000"/>
          <w:sz w:val="24"/>
          <w:szCs w:val="24"/>
          <w:bdr w:val="nil"/>
        </w:rPr>
      </w:pPr>
    </w:p>
    <w:p w:rsidR="004109FA" w:rsidRPr="00A00FB5" w:rsidRDefault="000527ED" w:rsidP="007D0965">
      <w:pPr>
        <w:pStyle w:val="Body"/>
        <w:tabs>
          <w:tab w:val="left" w:pos="8127"/>
        </w:tabs>
        <w:spacing w:line="360" w:lineRule="auto"/>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The company prepares </w:t>
      </w:r>
      <w:r w:rsidR="000C6F7B">
        <w:rPr>
          <w:rFonts w:ascii="Times New Roman" w:hAnsi="Times New Roman" w:cs="Times New Roman"/>
          <w:iCs/>
          <w:sz w:val="24"/>
          <w:szCs w:val="24"/>
        </w:rPr>
        <w:t xml:space="preserve">financial statements under historical cost convention. </w:t>
      </w:r>
      <w:r w:rsidR="00386A13">
        <w:rPr>
          <w:rFonts w:ascii="Times New Roman" w:hAnsi="Times New Roman" w:cs="Times New Roman"/>
          <w:iCs/>
          <w:sz w:val="24"/>
          <w:szCs w:val="24"/>
        </w:rPr>
        <w:t xml:space="preserve">Under historical cost convention, </w:t>
      </w:r>
      <w:r w:rsidR="000A36A0">
        <w:rPr>
          <w:rFonts w:ascii="Times New Roman" w:hAnsi="Times New Roman" w:cs="Times New Roman"/>
          <w:iCs/>
          <w:sz w:val="24"/>
          <w:szCs w:val="24"/>
        </w:rPr>
        <w:t xml:space="preserve">price of an asset is recorded in the </w:t>
      </w:r>
      <w:r w:rsidR="00230A07">
        <w:rPr>
          <w:rFonts w:ascii="Times New Roman" w:hAnsi="Times New Roman" w:cs="Times New Roman"/>
          <w:iCs/>
          <w:sz w:val="24"/>
          <w:szCs w:val="24"/>
        </w:rPr>
        <w:t>balance</w:t>
      </w:r>
      <w:r w:rsidR="000A36A0">
        <w:rPr>
          <w:rFonts w:ascii="Times New Roman" w:hAnsi="Times New Roman" w:cs="Times New Roman"/>
          <w:iCs/>
          <w:sz w:val="24"/>
          <w:szCs w:val="24"/>
        </w:rPr>
        <w:t xml:space="preserve"> sheet </w:t>
      </w:r>
      <w:r w:rsidR="00230A07">
        <w:rPr>
          <w:rFonts w:ascii="Times New Roman" w:hAnsi="Times New Roman" w:cs="Times New Roman"/>
          <w:iCs/>
          <w:sz w:val="24"/>
          <w:szCs w:val="24"/>
        </w:rPr>
        <w:t xml:space="preserve">on its normal or original </w:t>
      </w:r>
      <w:r w:rsidR="00385151">
        <w:rPr>
          <w:rFonts w:ascii="Times New Roman" w:hAnsi="Times New Roman" w:cs="Times New Roman"/>
          <w:iCs/>
          <w:sz w:val="24"/>
          <w:szCs w:val="24"/>
        </w:rPr>
        <w:t xml:space="preserve">purchase price at the time of acquisition. </w:t>
      </w:r>
      <w:r w:rsidR="00920852">
        <w:rPr>
          <w:rFonts w:ascii="Times New Roman" w:hAnsi="Times New Roman" w:cs="Times New Roman"/>
          <w:iCs/>
          <w:sz w:val="24"/>
          <w:szCs w:val="24"/>
        </w:rPr>
        <w:t xml:space="preserve">This accounting convention has no correlation with market value of an asset. Thus, volatility in asset prices does not </w:t>
      </w:r>
      <w:r w:rsidR="007744A5">
        <w:rPr>
          <w:rFonts w:ascii="Times New Roman" w:hAnsi="Times New Roman" w:cs="Times New Roman"/>
          <w:iCs/>
          <w:sz w:val="24"/>
          <w:szCs w:val="24"/>
        </w:rPr>
        <w:t>impact recorded</w:t>
      </w:r>
      <w:r w:rsidR="00920852">
        <w:rPr>
          <w:rFonts w:ascii="Times New Roman" w:hAnsi="Times New Roman" w:cs="Times New Roman"/>
          <w:iCs/>
          <w:sz w:val="24"/>
          <w:szCs w:val="24"/>
        </w:rPr>
        <w:t xml:space="preserve"> asset </w:t>
      </w:r>
      <w:r w:rsidR="007744A5">
        <w:rPr>
          <w:rFonts w:ascii="Times New Roman" w:hAnsi="Times New Roman" w:cs="Times New Roman"/>
          <w:iCs/>
          <w:sz w:val="24"/>
          <w:szCs w:val="24"/>
        </w:rPr>
        <w:t>value</w:t>
      </w:r>
      <w:r w:rsidR="00920852">
        <w:rPr>
          <w:rFonts w:ascii="Times New Roman" w:hAnsi="Times New Roman" w:cs="Times New Roman"/>
          <w:iCs/>
          <w:sz w:val="24"/>
          <w:szCs w:val="24"/>
        </w:rPr>
        <w:t xml:space="preserve"> and hence balance sheet figures. </w:t>
      </w:r>
      <w:r w:rsidR="00C822B3" w:rsidRPr="008575CB">
        <w:rPr>
          <w:rFonts w:ascii="Times New Roman" w:hAnsi="Times New Roman" w:cs="Times New Roman"/>
          <w:iCs/>
          <w:sz w:val="24"/>
          <w:szCs w:val="24"/>
        </w:rPr>
        <w:t xml:space="preserve">In case, the </w:t>
      </w:r>
      <w:r w:rsidR="008575CB" w:rsidRPr="008575CB">
        <w:rPr>
          <w:rFonts w:ascii="Times New Roman" w:hAnsi="Times New Roman" w:cs="Times New Roman"/>
          <w:iCs/>
          <w:sz w:val="24"/>
          <w:szCs w:val="24"/>
        </w:rPr>
        <w:t>useful life is shorter</w:t>
      </w:r>
      <w:r w:rsidR="0090220A">
        <w:rPr>
          <w:rFonts w:ascii="Times New Roman" w:hAnsi="Times New Roman" w:cs="Times New Roman"/>
          <w:iCs/>
          <w:sz w:val="24"/>
          <w:szCs w:val="24"/>
        </w:rPr>
        <w:t xml:space="preserve"> and</w:t>
      </w:r>
      <w:r w:rsidR="00657D45">
        <w:rPr>
          <w:rFonts w:ascii="Times New Roman" w:hAnsi="Times New Roman" w:cs="Times New Roman"/>
          <w:iCs/>
          <w:sz w:val="24"/>
          <w:szCs w:val="24"/>
        </w:rPr>
        <w:t xml:space="preserve"> there is no reasonable alternative use of asset, </w:t>
      </w:r>
      <w:r w:rsidR="00035393">
        <w:rPr>
          <w:rFonts w:ascii="Times New Roman" w:hAnsi="Times New Roman" w:cs="Times New Roman"/>
          <w:iCs/>
          <w:sz w:val="24"/>
          <w:szCs w:val="24"/>
        </w:rPr>
        <w:t>Rio Tinto records depreciation on property, plant and equipment over their useful life</w:t>
      </w:r>
      <w:r w:rsidR="00035393" w:rsidRPr="008575CB">
        <w:rPr>
          <w:rFonts w:ascii="Times New Roman" w:hAnsi="Times New Roman" w:cs="Times New Roman"/>
          <w:iCs/>
          <w:sz w:val="24"/>
          <w:szCs w:val="24"/>
        </w:rPr>
        <w:t xml:space="preserve"> </w:t>
      </w:r>
      <w:r w:rsidR="00035393">
        <w:rPr>
          <w:rFonts w:ascii="Times New Roman" w:hAnsi="Times New Roman" w:cs="Times New Roman"/>
          <w:iCs/>
          <w:sz w:val="24"/>
          <w:szCs w:val="24"/>
        </w:rPr>
        <w:t xml:space="preserve">and </w:t>
      </w:r>
      <w:r w:rsidR="00035393" w:rsidRPr="00C822B3">
        <w:rPr>
          <w:rFonts w:ascii="Times New Roman" w:hAnsi="Times New Roman" w:cs="Times New Roman"/>
          <w:iCs/>
          <w:sz w:val="24"/>
          <w:szCs w:val="24"/>
        </w:rPr>
        <w:t>or over the remaining life of the mine or smelter or refinery.</w:t>
      </w:r>
      <w:r w:rsidR="009F5248">
        <w:rPr>
          <w:rFonts w:ascii="Times New Roman" w:hAnsi="Times New Roman" w:cs="Times New Roman"/>
          <w:iCs/>
          <w:sz w:val="24"/>
          <w:szCs w:val="24"/>
        </w:rPr>
        <w:t xml:space="preserve"> Since the company is engaged in iron ore mining, </w:t>
      </w:r>
      <w:r w:rsidR="00943744">
        <w:rPr>
          <w:rFonts w:ascii="Times New Roman" w:hAnsi="Times New Roman" w:cs="Times New Roman"/>
          <w:iCs/>
          <w:sz w:val="24"/>
          <w:szCs w:val="24"/>
        </w:rPr>
        <w:t xml:space="preserve">estimation of useful live of assets including </w:t>
      </w:r>
      <w:r w:rsidR="009D656F">
        <w:rPr>
          <w:rFonts w:ascii="Times New Roman" w:hAnsi="Times New Roman" w:cs="Times New Roman"/>
          <w:iCs/>
          <w:sz w:val="24"/>
          <w:szCs w:val="24"/>
        </w:rPr>
        <w:t>iron ore</w:t>
      </w:r>
      <w:r w:rsidR="00943744">
        <w:rPr>
          <w:rFonts w:ascii="Times New Roman" w:hAnsi="Times New Roman" w:cs="Times New Roman"/>
          <w:iCs/>
          <w:sz w:val="24"/>
          <w:szCs w:val="24"/>
        </w:rPr>
        <w:t xml:space="preserve"> </w:t>
      </w:r>
      <w:r w:rsidR="009D656F">
        <w:rPr>
          <w:rFonts w:ascii="Times New Roman" w:hAnsi="Times New Roman" w:cs="Times New Roman"/>
          <w:iCs/>
          <w:sz w:val="24"/>
          <w:szCs w:val="24"/>
        </w:rPr>
        <w:t>body</w:t>
      </w:r>
      <w:r w:rsidR="00943744">
        <w:rPr>
          <w:rFonts w:ascii="Times New Roman" w:hAnsi="Times New Roman" w:cs="Times New Roman"/>
          <w:iCs/>
          <w:sz w:val="24"/>
          <w:szCs w:val="24"/>
        </w:rPr>
        <w:t xml:space="preserve"> gain</w:t>
      </w:r>
      <w:r w:rsidR="00B846CC">
        <w:rPr>
          <w:rFonts w:ascii="Times New Roman" w:hAnsi="Times New Roman" w:cs="Times New Roman"/>
          <w:iCs/>
          <w:sz w:val="24"/>
          <w:szCs w:val="24"/>
        </w:rPr>
        <w:t>s</w:t>
      </w:r>
      <w:r w:rsidR="00943744">
        <w:rPr>
          <w:rFonts w:ascii="Times New Roman" w:hAnsi="Times New Roman" w:cs="Times New Roman"/>
          <w:iCs/>
          <w:sz w:val="24"/>
          <w:szCs w:val="24"/>
        </w:rPr>
        <w:t xml:space="preserve"> significance</w:t>
      </w:r>
      <w:r w:rsidR="00396862">
        <w:rPr>
          <w:rFonts w:ascii="Times New Roman" w:hAnsi="Times New Roman" w:cs="Times New Roman"/>
          <w:iCs/>
          <w:sz w:val="24"/>
          <w:szCs w:val="24"/>
        </w:rPr>
        <w:t xml:space="preserve"> (</w:t>
      </w:r>
      <w:r w:rsidR="00396862">
        <w:rPr>
          <w:rFonts w:ascii="Times New Roman" w:hAnsi="Times New Roman" w:cs="Times New Roman"/>
          <w:sz w:val="24"/>
          <w:szCs w:val="24"/>
        </w:rPr>
        <w:t xml:space="preserve">DeLisle, J., Grissom, T., </w:t>
      </w:r>
      <w:r w:rsidR="00396862" w:rsidRPr="003A15BC">
        <w:rPr>
          <w:rFonts w:ascii="Times New Roman" w:hAnsi="Times New Roman" w:cs="Times New Roman"/>
          <w:sz w:val="24"/>
          <w:szCs w:val="24"/>
        </w:rPr>
        <w:t>2011)</w:t>
      </w:r>
      <w:r w:rsidR="00943744">
        <w:rPr>
          <w:rFonts w:ascii="Times New Roman" w:hAnsi="Times New Roman" w:cs="Times New Roman"/>
          <w:iCs/>
          <w:sz w:val="24"/>
          <w:szCs w:val="24"/>
        </w:rPr>
        <w:t xml:space="preserve">. </w:t>
      </w:r>
      <w:r w:rsidR="00B846CC">
        <w:rPr>
          <w:rFonts w:ascii="Times New Roman" w:hAnsi="Times New Roman" w:cs="Times New Roman"/>
          <w:iCs/>
          <w:sz w:val="24"/>
          <w:szCs w:val="24"/>
        </w:rPr>
        <w:t xml:space="preserve">This is because of the fact that these assets are cash generating units </w:t>
      </w:r>
      <w:r w:rsidR="00C9558B">
        <w:rPr>
          <w:rFonts w:ascii="Times New Roman" w:hAnsi="Times New Roman" w:cs="Times New Roman"/>
          <w:iCs/>
          <w:sz w:val="24"/>
          <w:szCs w:val="24"/>
        </w:rPr>
        <w:t xml:space="preserve">and their useful </w:t>
      </w:r>
      <w:r w:rsidR="001D129F">
        <w:rPr>
          <w:rFonts w:ascii="Times New Roman" w:hAnsi="Times New Roman" w:cs="Times New Roman"/>
          <w:iCs/>
          <w:sz w:val="24"/>
          <w:szCs w:val="24"/>
        </w:rPr>
        <w:t>lives are</w:t>
      </w:r>
      <w:r w:rsidR="00C9558B">
        <w:rPr>
          <w:rFonts w:ascii="Times New Roman" w:hAnsi="Times New Roman" w:cs="Times New Roman"/>
          <w:iCs/>
          <w:sz w:val="24"/>
          <w:szCs w:val="24"/>
        </w:rPr>
        <w:t xml:space="preserve"> dependent </w:t>
      </w:r>
      <w:r w:rsidR="001D129F">
        <w:rPr>
          <w:rFonts w:ascii="Times New Roman" w:hAnsi="Times New Roman" w:cs="Times New Roman"/>
          <w:iCs/>
          <w:sz w:val="24"/>
          <w:szCs w:val="24"/>
        </w:rPr>
        <w:t>on</w:t>
      </w:r>
      <w:r w:rsidR="001D129F" w:rsidRPr="001D129F">
        <w:rPr>
          <w:rFonts w:ascii="Times New Roman" w:hAnsi="Times New Roman" w:cs="Times New Roman"/>
          <w:iCs/>
          <w:sz w:val="24"/>
          <w:szCs w:val="24"/>
        </w:rPr>
        <w:t xml:space="preserve"> the life of the ore body to which they relate.</w:t>
      </w:r>
      <w:r w:rsidR="001D129F" w:rsidRPr="009838F7">
        <w:rPr>
          <w:rFonts w:ascii="Times New Roman" w:hAnsi="Times New Roman" w:cs="Times New Roman"/>
          <w:iCs/>
          <w:sz w:val="24"/>
          <w:szCs w:val="24"/>
        </w:rPr>
        <w:t xml:space="preserve"> </w:t>
      </w:r>
      <w:r w:rsidR="003F1CBC">
        <w:rPr>
          <w:rFonts w:ascii="Times New Roman" w:hAnsi="Times New Roman" w:cs="Times New Roman"/>
          <w:iCs/>
          <w:sz w:val="24"/>
          <w:szCs w:val="24"/>
        </w:rPr>
        <w:t xml:space="preserve">The lives of mining </w:t>
      </w:r>
      <w:r w:rsidR="00A30F5C">
        <w:rPr>
          <w:rFonts w:ascii="Times New Roman" w:hAnsi="Times New Roman" w:cs="Times New Roman"/>
          <w:iCs/>
          <w:sz w:val="24"/>
          <w:szCs w:val="24"/>
        </w:rPr>
        <w:t>properties</w:t>
      </w:r>
      <w:r w:rsidR="003F1CBC">
        <w:rPr>
          <w:rFonts w:ascii="Times New Roman" w:hAnsi="Times New Roman" w:cs="Times New Roman"/>
          <w:iCs/>
          <w:sz w:val="24"/>
          <w:szCs w:val="24"/>
        </w:rPr>
        <w:t xml:space="preserve"> and assets </w:t>
      </w:r>
      <w:r w:rsidR="009838F7">
        <w:rPr>
          <w:rFonts w:ascii="Times New Roman" w:hAnsi="Times New Roman" w:cs="Times New Roman"/>
          <w:iCs/>
          <w:sz w:val="24"/>
          <w:szCs w:val="24"/>
        </w:rPr>
        <w:t>are based</w:t>
      </w:r>
      <w:r w:rsidR="00A30F5C">
        <w:rPr>
          <w:rFonts w:ascii="Times New Roman" w:hAnsi="Times New Roman" w:cs="Times New Roman"/>
          <w:iCs/>
          <w:sz w:val="24"/>
          <w:szCs w:val="24"/>
        </w:rPr>
        <w:t xml:space="preserve"> on </w:t>
      </w:r>
      <w:r w:rsidR="009838F7" w:rsidRPr="009838F7">
        <w:rPr>
          <w:rFonts w:ascii="Times New Roman" w:hAnsi="Times New Roman" w:cs="Times New Roman"/>
          <w:iCs/>
          <w:sz w:val="24"/>
          <w:szCs w:val="24"/>
        </w:rPr>
        <w:t>expected life of the ore body.</w:t>
      </w:r>
      <w:r w:rsidR="002D07F6">
        <w:rPr>
          <w:rFonts w:ascii="Times New Roman" w:hAnsi="Times New Roman" w:cs="Times New Roman"/>
          <w:iCs/>
          <w:sz w:val="24"/>
          <w:szCs w:val="24"/>
        </w:rPr>
        <w:t xml:space="preserve"> In turn, the life of mine plan determines and estimates life of the iron ore body. </w:t>
      </w:r>
      <w:r w:rsidR="00EF7A51">
        <w:rPr>
          <w:rFonts w:ascii="Times New Roman" w:hAnsi="Times New Roman" w:cs="Times New Roman"/>
          <w:bCs/>
          <w:iCs/>
          <w:sz w:val="24"/>
          <w:szCs w:val="24"/>
        </w:rPr>
        <w:t xml:space="preserve">On the other hand, when major assets are cash generating units and not dependent on life of iron ore body, management applies judgment in estimation of remaining service potential of long lived </w:t>
      </w:r>
      <w:r w:rsidR="008F5343">
        <w:rPr>
          <w:rFonts w:ascii="Times New Roman" w:hAnsi="Times New Roman" w:cs="Times New Roman"/>
          <w:bCs/>
          <w:iCs/>
          <w:sz w:val="24"/>
          <w:szCs w:val="24"/>
        </w:rPr>
        <w:t>assets</w:t>
      </w:r>
      <w:r w:rsidR="00EF7A51">
        <w:rPr>
          <w:rFonts w:ascii="Times New Roman" w:hAnsi="Times New Roman" w:cs="Times New Roman"/>
          <w:bCs/>
          <w:iCs/>
          <w:sz w:val="24"/>
          <w:szCs w:val="24"/>
        </w:rPr>
        <w:t>.</w:t>
      </w:r>
      <w:r w:rsidR="00741E75">
        <w:rPr>
          <w:rFonts w:ascii="Times New Roman" w:hAnsi="Times New Roman" w:cs="Times New Roman"/>
          <w:bCs/>
          <w:iCs/>
          <w:sz w:val="24"/>
          <w:szCs w:val="24"/>
        </w:rPr>
        <w:t xml:space="preserve"> Different factors affecting remaining service potential are taken into consideration for estimation of </w:t>
      </w:r>
      <w:r w:rsidR="00D23FAD">
        <w:rPr>
          <w:rFonts w:ascii="Times New Roman" w:hAnsi="Times New Roman" w:cs="Times New Roman"/>
          <w:bCs/>
          <w:iCs/>
          <w:sz w:val="24"/>
          <w:szCs w:val="24"/>
        </w:rPr>
        <w:t>useful</w:t>
      </w:r>
      <w:r w:rsidR="00741E75">
        <w:rPr>
          <w:rFonts w:ascii="Times New Roman" w:hAnsi="Times New Roman" w:cs="Times New Roman"/>
          <w:bCs/>
          <w:iCs/>
          <w:sz w:val="24"/>
          <w:szCs w:val="24"/>
        </w:rPr>
        <w:t xml:space="preserve"> life</w:t>
      </w:r>
      <w:r w:rsidR="00396862">
        <w:rPr>
          <w:rFonts w:ascii="Times New Roman" w:hAnsi="Times New Roman" w:cs="Times New Roman"/>
          <w:bCs/>
          <w:iCs/>
          <w:sz w:val="24"/>
          <w:szCs w:val="24"/>
        </w:rPr>
        <w:t xml:space="preserve"> (</w:t>
      </w:r>
      <w:r w:rsidR="00396862">
        <w:rPr>
          <w:rFonts w:ascii="Times New Roman" w:eastAsia="Times New Roman" w:hAnsi="Times New Roman" w:cs="Times New Roman"/>
          <w:sz w:val="24"/>
          <w:szCs w:val="24"/>
        </w:rPr>
        <w:t xml:space="preserve">Grover, R., </w:t>
      </w:r>
      <w:r w:rsidR="00396862" w:rsidRPr="004F28AD">
        <w:rPr>
          <w:rFonts w:ascii="Times New Roman" w:eastAsia="Times New Roman" w:hAnsi="Times New Roman" w:cs="Times New Roman"/>
          <w:sz w:val="24"/>
          <w:szCs w:val="24"/>
        </w:rPr>
        <w:t>2016)</w:t>
      </w:r>
      <w:r w:rsidR="00741E75">
        <w:rPr>
          <w:rFonts w:ascii="Times New Roman" w:hAnsi="Times New Roman" w:cs="Times New Roman"/>
          <w:bCs/>
          <w:iCs/>
          <w:sz w:val="24"/>
          <w:szCs w:val="24"/>
        </w:rPr>
        <w:t xml:space="preserve">. </w:t>
      </w:r>
      <w:r w:rsidR="00D23FAD">
        <w:rPr>
          <w:rFonts w:ascii="Times New Roman" w:hAnsi="Times New Roman" w:cs="Times New Roman"/>
          <w:bCs/>
          <w:iCs/>
          <w:sz w:val="24"/>
          <w:szCs w:val="24"/>
        </w:rPr>
        <w:t>Moreover, annual review and period</w:t>
      </w:r>
      <w:r w:rsidR="00E03042">
        <w:rPr>
          <w:rFonts w:ascii="Times New Roman" w:hAnsi="Times New Roman" w:cs="Times New Roman"/>
          <w:bCs/>
          <w:iCs/>
          <w:sz w:val="24"/>
          <w:szCs w:val="24"/>
        </w:rPr>
        <w:t>ic</w:t>
      </w:r>
      <w:r w:rsidR="00D23FAD">
        <w:rPr>
          <w:rFonts w:ascii="Times New Roman" w:hAnsi="Times New Roman" w:cs="Times New Roman"/>
          <w:bCs/>
          <w:iCs/>
          <w:sz w:val="24"/>
          <w:szCs w:val="24"/>
        </w:rPr>
        <w:t xml:space="preserve"> changes are reflected prospectively </w:t>
      </w:r>
      <w:r w:rsidR="00E03042">
        <w:rPr>
          <w:rFonts w:ascii="Times New Roman" w:hAnsi="Times New Roman" w:cs="Times New Roman"/>
          <w:bCs/>
          <w:iCs/>
          <w:sz w:val="24"/>
          <w:szCs w:val="24"/>
        </w:rPr>
        <w:t xml:space="preserve">for material assets and asset </w:t>
      </w:r>
      <w:r w:rsidR="00A00FB5">
        <w:rPr>
          <w:rFonts w:ascii="Times New Roman" w:hAnsi="Times New Roman" w:cs="Times New Roman"/>
          <w:bCs/>
          <w:iCs/>
          <w:sz w:val="24"/>
          <w:szCs w:val="24"/>
        </w:rPr>
        <w:t>categories</w:t>
      </w:r>
      <w:r w:rsidR="00E03042">
        <w:rPr>
          <w:rFonts w:ascii="Times New Roman" w:hAnsi="Times New Roman" w:cs="Times New Roman"/>
          <w:bCs/>
          <w:iCs/>
          <w:sz w:val="24"/>
          <w:szCs w:val="24"/>
        </w:rPr>
        <w:t xml:space="preserve">. </w:t>
      </w:r>
    </w:p>
    <w:p w:rsidR="00E03042" w:rsidRDefault="00E03042" w:rsidP="007D0965">
      <w:pPr>
        <w:pStyle w:val="Body"/>
        <w:spacing w:line="360" w:lineRule="auto"/>
        <w:contextualSpacing/>
        <w:jc w:val="both"/>
        <w:rPr>
          <w:rFonts w:ascii="Times New Roman" w:hAnsi="Times New Roman" w:cs="Times New Roman"/>
          <w:bCs/>
          <w:iCs/>
          <w:sz w:val="24"/>
          <w:szCs w:val="24"/>
        </w:rPr>
      </w:pPr>
    </w:p>
    <w:p w:rsidR="00B67C32" w:rsidRDefault="00B67C32" w:rsidP="007D0965">
      <w:pPr>
        <w:pStyle w:val="Body"/>
        <w:spacing w:line="36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Rio Tinto </w:t>
      </w:r>
      <w:r w:rsidR="00ED4A52">
        <w:rPr>
          <w:rFonts w:ascii="Times New Roman" w:hAnsi="Times New Roman" w:cs="Times New Roman"/>
          <w:bCs/>
          <w:iCs/>
          <w:sz w:val="24"/>
          <w:szCs w:val="24"/>
        </w:rPr>
        <w:t xml:space="preserve">concurs with accounting </w:t>
      </w:r>
      <w:r w:rsidR="00322187">
        <w:rPr>
          <w:rFonts w:ascii="Times New Roman" w:hAnsi="Times New Roman" w:cs="Times New Roman"/>
          <w:bCs/>
          <w:iCs/>
          <w:sz w:val="24"/>
          <w:szCs w:val="24"/>
        </w:rPr>
        <w:t xml:space="preserve">experts </w:t>
      </w:r>
      <w:r w:rsidR="003B4B40">
        <w:rPr>
          <w:rFonts w:ascii="Times New Roman" w:hAnsi="Times New Roman" w:cs="Times New Roman"/>
          <w:bCs/>
          <w:iCs/>
          <w:sz w:val="24"/>
          <w:szCs w:val="24"/>
        </w:rPr>
        <w:t xml:space="preserve">opinion </w:t>
      </w:r>
      <w:r w:rsidR="00322187">
        <w:rPr>
          <w:rFonts w:ascii="Times New Roman" w:hAnsi="Times New Roman" w:cs="Times New Roman"/>
          <w:bCs/>
          <w:iCs/>
          <w:sz w:val="24"/>
          <w:szCs w:val="24"/>
        </w:rPr>
        <w:t xml:space="preserve">that asset value are </w:t>
      </w:r>
      <w:r w:rsidR="00DD3F28">
        <w:rPr>
          <w:rFonts w:ascii="Times New Roman" w:hAnsi="Times New Roman" w:cs="Times New Roman"/>
          <w:bCs/>
          <w:iCs/>
          <w:sz w:val="24"/>
          <w:szCs w:val="24"/>
        </w:rPr>
        <w:t>bound</w:t>
      </w:r>
      <w:r w:rsidR="00322187">
        <w:rPr>
          <w:rFonts w:ascii="Times New Roman" w:hAnsi="Times New Roman" w:cs="Times New Roman"/>
          <w:bCs/>
          <w:iCs/>
          <w:sz w:val="24"/>
          <w:szCs w:val="24"/>
        </w:rPr>
        <w:t xml:space="preserve"> to </w:t>
      </w:r>
      <w:r w:rsidR="00DD3F28">
        <w:rPr>
          <w:rFonts w:ascii="Times New Roman" w:hAnsi="Times New Roman" w:cs="Times New Roman"/>
          <w:bCs/>
          <w:iCs/>
          <w:sz w:val="24"/>
          <w:szCs w:val="24"/>
        </w:rPr>
        <w:t xml:space="preserve">depreciate </w:t>
      </w:r>
      <w:r w:rsidR="003E76A0">
        <w:rPr>
          <w:rFonts w:ascii="Times New Roman" w:hAnsi="Times New Roman" w:cs="Times New Roman"/>
          <w:bCs/>
          <w:iCs/>
          <w:sz w:val="24"/>
          <w:szCs w:val="24"/>
        </w:rPr>
        <w:t xml:space="preserve">due to normal wear and tear and use. Thus, the company </w:t>
      </w:r>
      <w:r w:rsidR="00F135E0">
        <w:rPr>
          <w:rFonts w:ascii="Times New Roman" w:hAnsi="Times New Roman" w:cs="Times New Roman"/>
          <w:bCs/>
          <w:iCs/>
          <w:sz w:val="24"/>
          <w:szCs w:val="24"/>
        </w:rPr>
        <w:t>records</w:t>
      </w:r>
      <w:r w:rsidR="003E76A0">
        <w:rPr>
          <w:rFonts w:ascii="Times New Roman" w:hAnsi="Times New Roman" w:cs="Times New Roman"/>
          <w:bCs/>
          <w:iCs/>
          <w:sz w:val="24"/>
          <w:szCs w:val="24"/>
        </w:rPr>
        <w:t xml:space="preserve"> depreciation </w:t>
      </w:r>
      <w:r w:rsidR="00F135E0">
        <w:rPr>
          <w:rFonts w:ascii="Times New Roman" w:hAnsi="Times New Roman" w:cs="Times New Roman"/>
          <w:bCs/>
          <w:iCs/>
          <w:sz w:val="24"/>
          <w:szCs w:val="24"/>
        </w:rPr>
        <w:t xml:space="preserve">on </w:t>
      </w:r>
      <w:r w:rsidR="00B4475A">
        <w:rPr>
          <w:rFonts w:ascii="Times New Roman" w:hAnsi="Times New Roman" w:cs="Times New Roman"/>
          <w:bCs/>
          <w:iCs/>
          <w:sz w:val="24"/>
          <w:szCs w:val="24"/>
        </w:rPr>
        <w:t>assets</w:t>
      </w:r>
      <w:r w:rsidR="00F135E0">
        <w:rPr>
          <w:rFonts w:ascii="Times New Roman" w:hAnsi="Times New Roman" w:cs="Times New Roman"/>
          <w:bCs/>
          <w:iCs/>
          <w:sz w:val="24"/>
          <w:szCs w:val="24"/>
        </w:rPr>
        <w:t xml:space="preserve"> </w:t>
      </w:r>
      <w:r w:rsidR="003E76A0">
        <w:rPr>
          <w:rFonts w:ascii="Times New Roman" w:hAnsi="Times New Roman" w:cs="Times New Roman"/>
          <w:bCs/>
          <w:iCs/>
          <w:sz w:val="24"/>
          <w:szCs w:val="24"/>
        </w:rPr>
        <w:t xml:space="preserve">as soon </w:t>
      </w:r>
      <w:r w:rsidR="0028235F">
        <w:rPr>
          <w:rFonts w:ascii="Times New Roman" w:hAnsi="Times New Roman" w:cs="Times New Roman"/>
          <w:bCs/>
          <w:iCs/>
          <w:sz w:val="24"/>
          <w:szCs w:val="24"/>
        </w:rPr>
        <w:t xml:space="preserve">as an asset is available for use. </w:t>
      </w:r>
      <w:r w:rsidR="00C275A3">
        <w:rPr>
          <w:rFonts w:ascii="Times New Roman" w:hAnsi="Times New Roman" w:cs="Times New Roman"/>
          <w:bCs/>
          <w:iCs/>
          <w:sz w:val="24"/>
          <w:szCs w:val="24"/>
        </w:rPr>
        <w:t xml:space="preserve">Rio Tinto charges depreciation </w:t>
      </w:r>
      <w:r w:rsidR="00815FDB">
        <w:rPr>
          <w:rFonts w:ascii="Times New Roman" w:hAnsi="Times New Roman" w:cs="Times New Roman"/>
          <w:bCs/>
          <w:iCs/>
          <w:sz w:val="24"/>
          <w:szCs w:val="24"/>
        </w:rPr>
        <w:t xml:space="preserve">on major categories of assets including property, plant and equipment </w:t>
      </w:r>
      <w:r w:rsidR="00CA4C75">
        <w:rPr>
          <w:rFonts w:ascii="Times New Roman" w:hAnsi="Times New Roman" w:cs="Times New Roman"/>
          <w:bCs/>
          <w:iCs/>
          <w:sz w:val="24"/>
          <w:szCs w:val="24"/>
        </w:rPr>
        <w:t>on a unit</w:t>
      </w:r>
      <w:r w:rsidR="00BC76C5">
        <w:rPr>
          <w:rFonts w:ascii="Times New Roman" w:hAnsi="Times New Roman" w:cs="Times New Roman"/>
          <w:bCs/>
          <w:iCs/>
          <w:sz w:val="24"/>
          <w:szCs w:val="24"/>
        </w:rPr>
        <w:t xml:space="preserve"> of production and or </w:t>
      </w:r>
      <w:r w:rsidR="00CA4C75">
        <w:rPr>
          <w:rFonts w:ascii="Times New Roman" w:hAnsi="Times New Roman" w:cs="Times New Roman"/>
          <w:bCs/>
          <w:iCs/>
          <w:sz w:val="24"/>
          <w:szCs w:val="24"/>
        </w:rPr>
        <w:t>straight</w:t>
      </w:r>
      <w:r w:rsidR="00BC76C5">
        <w:rPr>
          <w:rFonts w:ascii="Times New Roman" w:hAnsi="Times New Roman" w:cs="Times New Roman"/>
          <w:bCs/>
          <w:iCs/>
          <w:sz w:val="24"/>
          <w:szCs w:val="24"/>
        </w:rPr>
        <w:t xml:space="preserve"> line basis</w:t>
      </w:r>
      <w:r w:rsidR="00396862">
        <w:rPr>
          <w:rFonts w:ascii="Times New Roman" w:hAnsi="Times New Roman" w:cs="Times New Roman"/>
          <w:bCs/>
          <w:iCs/>
          <w:sz w:val="24"/>
          <w:szCs w:val="24"/>
        </w:rPr>
        <w:t xml:space="preserve"> (</w:t>
      </w:r>
      <w:r w:rsidR="00396862">
        <w:rPr>
          <w:rFonts w:ascii="Times New Roman" w:eastAsia="Times New Roman" w:hAnsi="Times New Roman" w:cs="Times New Roman"/>
          <w:sz w:val="24"/>
          <w:szCs w:val="24"/>
        </w:rPr>
        <w:t xml:space="preserve">Hordijk, A., Nelisse, P., Gritter, L., </w:t>
      </w:r>
      <w:r w:rsidR="00396862" w:rsidRPr="00B546B6">
        <w:rPr>
          <w:rFonts w:ascii="Times New Roman" w:eastAsia="Times New Roman" w:hAnsi="Times New Roman" w:cs="Times New Roman"/>
          <w:sz w:val="24"/>
          <w:szCs w:val="24"/>
        </w:rPr>
        <w:t>2011)</w:t>
      </w:r>
      <w:r w:rsidR="00BC76C5">
        <w:rPr>
          <w:rFonts w:ascii="Times New Roman" w:hAnsi="Times New Roman" w:cs="Times New Roman"/>
          <w:bCs/>
          <w:iCs/>
          <w:sz w:val="24"/>
          <w:szCs w:val="24"/>
        </w:rPr>
        <w:t xml:space="preserve">. </w:t>
      </w:r>
      <w:r w:rsidR="006B3334">
        <w:rPr>
          <w:rFonts w:ascii="Times New Roman" w:hAnsi="Times New Roman" w:cs="Times New Roman"/>
          <w:bCs/>
          <w:iCs/>
          <w:sz w:val="24"/>
          <w:szCs w:val="24"/>
        </w:rPr>
        <w:t>The different methods of depreciation are used by the company depending upon</w:t>
      </w:r>
      <w:r w:rsidR="00204A7D">
        <w:rPr>
          <w:rFonts w:ascii="Times New Roman" w:hAnsi="Times New Roman" w:cs="Times New Roman"/>
          <w:bCs/>
          <w:iCs/>
          <w:sz w:val="24"/>
          <w:szCs w:val="24"/>
        </w:rPr>
        <w:t xml:space="preserve"> type of assets and</w:t>
      </w:r>
      <w:r w:rsidR="006B3334">
        <w:rPr>
          <w:rFonts w:ascii="Times New Roman" w:hAnsi="Times New Roman" w:cs="Times New Roman"/>
          <w:bCs/>
          <w:iCs/>
          <w:sz w:val="24"/>
          <w:szCs w:val="24"/>
        </w:rPr>
        <w:t xml:space="preserve"> accounting </w:t>
      </w:r>
      <w:r w:rsidR="00204A7D">
        <w:rPr>
          <w:rFonts w:ascii="Times New Roman" w:hAnsi="Times New Roman" w:cs="Times New Roman"/>
          <w:bCs/>
          <w:iCs/>
          <w:sz w:val="24"/>
          <w:szCs w:val="24"/>
        </w:rPr>
        <w:t xml:space="preserve">information. </w:t>
      </w:r>
      <w:r w:rsidR="00426A06">
        <w:rPr>
          <w:rFonts w:ascii="Times New Roman" w:hAnsi="Times New Roman" w:cs="Times New Roman"/>
          <w:bCs/>
          <w:iCs/>
          <w:sz w:val="24"/>
          <w:szCs w:val="24"/>
        </w:rPr>
        <w:t>They are as follows:</w:t>
      </w:r>
    </w:p>
    <w:p w:rsidR="002E3CBA" w:rsidRDefault="002E3CBA" w:rsidP="007D0965">
      <w:pPr>
        <w:pStyle w:val="Body"/>
        <w:spacing w:line="360" w:lineRule="auto"/>
        <w:contextualSpacing/>
        <w:jc w:val="both"/>
        <w:rPr>
          <w:rFonts w:ascii="Times New Roman" w:hAnsi="Times New Roman" w:cs="Times New Roman"/>
          <w:bCs/>
          <w:iCs/>
          <w:sz w:val="24"/>
          <w:szCs w:val="24"/>
        </w:rPr>
      </w:pPr>
    </w:p>
    <w:p w:rsidR="002E3CBA" w:rsidRDefault="002E3CBA" w:rsidP="007D0965">
      <w:pPr>
        <w:pStyle w:val="Body"/>
        <w:spacing w:line="360" w:lineRule="auto"/>
        <w:contextualSpacing/>
        <w:jc w:val="both"/>
        <w:rPr>
          <w:rFonts w:ascii="Times New Roman" w:hAnsi="Times New Roman" w:cs="Times New Roman"/>
          <w:bCs/>
          <w:iCs/>
          <w:sz w:val="24"/>
          <w:szCs w:val="24"/>
        </w:rPr>
      </w:pPr>
    </w:p>
    <w:p w:rsidR="002E3CBA" w:rsidRDefault="002E3CBA" w:rsidP="007D0965">
      <w:pPr>
        <w:pStyle w:val="Body"/>
        <w:spacing w:line="360" w:lineRule="auto"/>
        <w:contextualSpacing/>
        <w:jc w:val="both"/>
        <w:rPr>
          <w:rFonts w:ascii="Times New Roman" w:hAnsi="Times New Roman" w:cs="Times New Roman"/>
          <w:bCs/>
          <w:iCs/>
          <w:sz w:val="24"/>
          <w:szCs w:val="24"/>
        </w:rPr>
      </w:pPr>
    </w:p>
    <w:p w:rsidR="002E3CBA" w:rsidRDefault="002E3CBA" w:rsidP="007D0965">
      <w:pPr>
        <w:pStyle w:val="Body"/>
        <w:spacing w:line="360" w:lineRule="auto"/>
        <w:contextualSpacing/>
        <w:jc w:val="both"/>
        <w:rPr>
          <w:rFonts w:ascii="Times New Roman" w:hAnsi="Times New Roman" w:cs="Times New Roman"/>
          <w:bCs/>
          <w:iCs/>
          <w:sz w:val="24"/>
          <w:szCs w:val="24"/>
        </w:rPr>
      </w:pPr>
    </w:p>
    <w:p w:rsidR="00AA6C91" w:rsidRDefault="00AA6C91" w:rsidP="007D0965">
      <w:pPr>
        <w:pStyle w:val="Heading2"/>
        <w:spacing w:line="360" w:lineRule="auto"/>
      </w:pPr>
      <w:bookmarkStart w:id="2" w:name="_Toc450577189"/>
      <w:r>
        <w:lastRenderedPageBreak/>
        <w:t>Units of Production basis</w:t>
      </w:r>
      <w:bookmarkEnd w:id="2"/>
    </w:p>
    <w:p w:rsidR="00AA6C91" w:rsidRDefault="00AA6C91" w:rsidP="007D0965">
      <w:pPr>
        <w:pStyle w:val="Body"/>
        <w:spacing w:line="360" w:lineRule="auto"/>
        <w:contextualSpacing/>
        <w:jc w:val="both"/>
        <w:rPr>
          <w:rFonts w:ascii="Times New Roman" w:hAnsi="Times New Roman" w:cs="Times New Roman"/>
          <w:bCs/>
          <w:iCs/>
          <w:sz w:val="24"/>
          <w:szCs w:val="24"/>
        </w:rPr>
      </w:pPr>
    </w:p>
    <w:p w:rsidR="008E0006" w:rsidRDefault="00EB2120" w:rsidP="007D0965">
      <w:pPr>
        <w:pStyle w:val="Body"/>
        <w:spacing w:line="360" w:lineRule="auto"/>
        <w:contextualSpacing/>
        <w:jc w:val="both"/>
        <w:rPr>
          <w:rFonts w:ascii="Times New Roman" w:hAnsi="Times New Roman" w:cs="Times New Roman"/>
          <w:bCs/>
          <w:iCs/>
          <w:sz w:val="24"/>
          <w:szCs w:val="24"/>
        </w:rPr>
      </w:pPr>
      <w:r w:rsidRPr="00E77434">
        <w:rPr>
          <w:rFonts w:ascii="Times New Roman" w:hAnsi="Times New Roman" w:cs="Times New Roman"/>
          <w:bCs/>
          <w:iCs/>
          <w:sz w:val="24"/>
          <w:szCs w:val="24"/>
        </w:rPr>
        <w:t xml:space="preserve">For mining properties, consumption of economic benefits is linked to production. Thus, these assets are depreciated by the company on units of production basis. In application of units of production method, </w:t>
      </w:r>
      <w:r w:rsidR="00243CCB" w:rsidRPr="00E77434">
        <w:rPr>
          <w:rFonts w:ascii="Times New Roman" w:hAnsi="Times New Roman" w:cs="Times New Roman"/>
          <w:bCs/>
          <w:iCs/>
          <w:sz w:val="24"/>
          <w:szCs w:val="24"/>
        </w:rPr>
        <w:t xml:space="preserve">depreciation is </w:t>
      </w:r>
      <w:r w:rsidR="00636314" w:rsidRPr="00E77434">
        <w:rPr>
          <w:rFonts w:ascii="Times New Roman" w:hAnsi="Times New Roman" w:cs="Times New Roman"/>
          <w:bCs/>
          <w:iCs/>
          <w:sz w:val="24"/>
          <w:szCs w:val="24"/>
        </w:rPr>
        <w:t>calculated</w:t>
      </w:r>
      <w:r w:rsidR="00243CCB" w:rsidRPr="00E77434">
        <w:rPr>
          <w:rFonts w:ascii="Times New Roman" w:hAnsi="Times New Roman" w:cs="Times New Roman"/>
          <w:bCs/>
          <w:iCs/>
          <w:sz w:val="24"/>
          <w:szCs w:val="24"/>
        </w:rPr>
        <w:t xml:space="preserve"> based</w:t>
      </w:r>
      <w:r w:rsidR="00636314" w:rsidRPr="00E77434">
        <w:rPr>
          <w:rFonts w:ascii="Times New Roman" w:hAnsi="Times New Roman" w:cs="Times New Roman"/>
          <w:bCs/>
          <w:iCs/>
          <w:sz w:val="24"/>
          <w:szCs w:val="24"/>
        </w:rPr>
        <w:t xml:space="preserve"> on current and future period’s production. The depreciable </w:t>
      </w:r>
      <w:r w:rsidR="009E0968" w:rsidRPr="00E77434">
        <w:rPr>
          <w:rFonts w:ascii="Times New Roman" w:hAnsi="Times New Roman" w:cs="Times New Roman"/>
          <w:bCs/>
          <w:iCs/>
          <w:sz w:val="24"/>
          <w:szCs w:val="24"/>
        </w:rPr>
        <w:t>asset includes</w:t>
      </w:r>
      <w:r w:rsidR="00636314" w:rsidRPr="00E77434">
        <w:rPr>
          <w:rFonts w:ascii="Times New Roman" w:hAnsi="Times New Roman" w:cs="Times New Roman"/>
          <w:bCs/>
          <w:iCs/>
          <w:sz w:val="24"/>
          <w:szCs w:val="24"/>
        </w:rPr>
        <w:t xml:space="preserve"> ore reserves, and other mineral resources. </w:t>
      </w:r>
      <w:r w:rsidR="009E0968" w:rsidRPr="00E77434">
        <w:rPr>
          <w:rFonts w:ascii="Times New Roman" w:hAnsi="Times New Roman" w:cs="Times New Roman"/>
          <w:bCs/>
          <w:iCs/>
          <w:sz w:val="24"/>
          <w:szCs w:val="24"/>
        </w:rPr>
        <w:t xml:space="preserve">The company </w:t>
      </w:r>
      <w:r w:rsidR="00BF2BFD" w:rsidRPr="00E77434">
        <w:rPr>
          <w:rFonts w:ascii="Times New Roman" w:hAnsi="Times New Roman" w:cs="Times New Roman"/>
          <w:bCs/>
          <w:iCs/>
          <w:sz w:val="24"/>
          <w:szCs w:val="24"/>
        </w:rPr>
        <w:t xml:space="preserve">charges depreciation on other mineral resources </w:t>
      </w:r>
      <w:r w:rsidR="00687855" w:rsidRPr="00E77434">
        <w:rPr>
          <w:rFonts w:ascii="Times New Roman" w:hAnsi="Times New Roman" w:cs="Times New Roman"/>
          <w:bCs/>
          <w:iCs/>
          <w:sz w:val="24"/>
          <w:szCs w:val="24"/>
        </w:rPr>
        <w:t xml:space="preserve">in situation where they can be extracted economically.  </w:t>
      </w:r>
      <w:r w:rsidR="00451F29" w:rsidRPr="00E77434">
        <w:rPr>
          <w:rFonts w:ascii="Times New Roman" w:hAnsi="Times New Roman" w:cs="Times New Roman"/>
          <w:bCs/>
          <w:iCs/>
          <w:sz w:val="24"/>
          <w:szCs w:val="24"/>
        </w:rPr>
        <w:t xml:space="preserve">In such cases, depreciation is charged </w:t>
      </w:r>
      <w:r w:rsidR="000123B7" w:rsidRPr="00E77434">
        <w:rPr>
          <w:rFonts w:ascii="Times New Roman" w:hAnsi="Times New Roman" w:cs="Times New Roman"/>
          <w:bCs/>
          <w:iCs/>
          <w:sz w:val="24"/>
          <w:szCs w:val="24"/>
        </w:rPr>
        <w:t xml:space="preserve">since detailed </w:t>
      </w:r>
      <w:r w:rsidR="002B4CBA" w:rsidRPr="00E77434">
        <w:rPr>
          <w:rFonts w:ascii="Times New Roman" w:hAnsi="Times New Roman" w:cs="Times New Roman"/>
          <w:bCs/>
          <w:iCs/>
          <w:sz w:val="24"/>
          <w:szCs w:val="24"/>
        </w:rPr>
        <w:t>evaluation</w:t>
      </w:r>
      <w:r w:rsidR="000123B7" w:rsidRPr="00E77434">
        <w:rPr>
          <w:rFonts w:ascii="Times New Roman" w:hAnsi="Times New Roman" w:cs="Times New Roman"/>
          <w:bCs/>
          <w:iCs/>
          <w:sz w:val="24"/>
          <w:szCs w:val="24"/>
        </w:rPr>
        <w:t xml:space="preserve"> and analysis work </w:t>
      </w:r>
      <w:r w:rsidR="00BC6230" w:rsidRPr="00E77434">
        <w:rPr>
          <w:rFonts w:ascii="Times New Roman" w:hAnsi="Times New Roman" w:cs="Times New Roman"/>
          <w:bCs/>
          <w:iCs/>
          <w:sz w:val="24"/>
          <w:szCs w:val="24"/>
        </w:rPr>
        <w:t xml:space="preserve">has yet to be </w:t>
      </w:r>
      <w:r w:rsidR="0002748A" w:rsidRPr="00E77434">
        <w:rPr>
          <w:rFonts w:ascii="Times New Roman" w:hAnsi="Times New Roman" w:cs="Times New Roman"/>
          <w:bCs/>
          <w:iCs/>
          <w:sz w:val="24"/>
          <w:szCs w:val="24"/>
        </w:rPr>
        <w:t>performe</w:t>
      </w:r>
      <w:r w:rsidR="00BC6230" w:rsidRPr="00E77434">
        <w:rPr>
          <w:rFonts w:ascii="Times New Roman" w:hAnsi="Times New Roman" w:cs="Times New Roman"/>
          <w:bCs/>
          <w:iCs/>
          <w:sz w:val="24"/>
          <w:szCs w:val="24"/>
        </w:rPr>
        <w:t xml:space="preserve">d. </w:t>
      </w:r>
      <w:r w:rsidR="00030AC0" w:rsidRPr="00E77434">
        <w:rPr>
          <w:rFonts w:ascii="Times New Roman" w:hAnsi="Times New Roman" w:cs="Times New Roman"/>
          <w:bCs/>
          <w:iCs/>
          <w:sz w:val="24"/>
          <w:szCs w:val="24"/>
        </w:rPr>
        <w:t xml:space="preserve">The quantum of mineral resource extraction from an iron ore mine </w:t>
      </w:r>
      <w:r w:rsidR="00E77434" w:rsidRPr="00E77434">
        <w:rPr>
          <w:rFonts w:ascii="Times New Roman" w:hAnsi="Times New Roman" w:cs="Times New Roman"/>
          <w:bCs/>
          <w:iCs/>
          <w:sz w:val="24"/>
          <w:szCs w:val="24"/>
        </w:rPr>
        <w:t>is determined by taking into account future capital costs as required by the</w:t>
      </w:r>
      <w:r w:rsidR="00E77434">
        <w:rPr>
          <w:rFonts w:ascii="Times New Roman" w:hAnsi="Times New Roman" w:cs="Times New Roman"/>
          <w:bCs/>
          <w:iCs/>
          <w:sz w:val="24"/>
          <w:szCs w:val="24"/>
        </w:rPr>
        <w:t xml:space="preserve"> </w:t>
      </w:r>
      <w:r w:rsidR="00E77434" w:rsidRPr="00E77434">
        <w:rPr>
          <w:rFonts w:ascii="Times New Roman" w:hAnsi="Times New Roman" w:cs="Times New Roman"/>
          <w:bCs/>
          <w:iCs/>
          <w:sz w:val="24"/>
          <w:szCs w:val="24"/>
        </w:rPr>
        <w:t>Joint Ore Reserves Committee (JORC) code.</w:t>
      </w:r>
      <w:r w:rsidR="00BA7C4C">
        <w:rPr>
          <w:rFonts w:ascii="Times New Roman" w:hAnsi="Times New Roman" w:cs="Times New Roman"/>
          <w:bCs/>
          <w:iCs/>
          <w:sz w:val="24"/>
          <w:szCs w:val="24"/>
        </w:rPr>
        <w:t xml:space="preserve"> Future developments costs </w:t>
      </w:r>
      <w:r w:rsidR="00C965A8">
        <w:rPr>
          <w:rFonts w:ascii="Times New Roman" w:hAnsi="Times New Roman" w:cs="Times New Roman"/>
          <w:bCs/>
          <w:iCs/>
          <w:sz w:val="24"/>
          <w:szCs w:val="24"/>
        </w:rPr>
        <w:t xml:space="preserve">for mines which are not in reduction </w:t>
      </w:r>
      <w:r w:rsidR="00BA7C4C">
        <w:rPr>
          <w:rFonts w:ascii="Times New Roman" w:hAnsi="Times New Roman" w:cs="Times New Roman"/>
          <w:bCs/>
          <w:iCs/>
          <w:sz w:val="24"/>
          <w:szCs w:val="24"/>
        </w:rPr>
        <w:t xml:space="preserve">are not accounted into </w:t>
      </w:r>
      <w:r w:rsidR="00C965A8">
        <w:rPr>
          <w:rFonts w:ascii="Times New Roman" w:hAnsi="Times New Roman" w:cs="Times New Roman"/>
          <w:bCs/>
          <w:iCs/>
          <w:sz w:val="24"/>
          <w:szCs w:val="24"/>
        </w:rPr>
        <w:t>depreciation calculation</w:t>
      </w:r>
      <w:r w:rsidR="00396862">
        <w:rPr>
          <w:rFonts w:ascii="Times New Roman" w:hAnsi="Times New Roman" w:cs="Times New Roman"/>
          <w:bCs/>
          <w:iCs/>
          <w:sz w:val="24"/>
          <w:szCs w:val="24"/>
        </w:rPr>
        <w:t xml:space="preserve"> (</w:t>
      </w:r>
      <w:r w:rsidR="00396862">
        <w:rPr>
          <w:rFonts w:ascii="Times New Roman" w:eastAsia="Times New Roman" w:hAnsi="Times New Roman" w:cs="Times New Roman"/>
          <w:sz w:val="24"/>
          <w:szCs w:val="24"/>
        </w:rPr>
        <w:t xml:space="preserve">Lagrost, C., Martin, D., Dubois, C., Quazzotti, S., </w:t>
      </w:r>
      <w:r w:rsidR="00396862" w:rsidRPr="00322BE1">
        <w:rPr>
          <w:rFonts w:ascii="Times New Roman" w:eastAsia="Times New Roman" w:hAnsi="Times New Roman" w:cs="Times New Roman"/>
          <w:sz w:val="24"/>
          <w:szCs w:val="24"/>
        </w:rPr>
        <w:t>2010)</w:t>
      </w:r>
      <w:r w:rsidR="00C965A8">
        <w:rPr>
          <w:rFonts w:ascii="Times New Roman" w:hAnsi="Times New Roman" w:cs="Times New Roman"/>
          <w:bCs/>
          <w:iCs/>
          <w:sz w:val="24"/>
          <w:szCs w:val="24"/>
        </w:rPr>
        <w:t xml:space="preserve">. </w:t>
      </w:r>
      <w:r w:rsidR="009C5E1F">
        <w:rPr>
          <w:rFonts w:ascii="Times New Roman" w:hAnsi="Times New Roman" w:cs="Times New Roman"/>
          <w:bCs/>
          <w:iCs/>
          <w:sz w:val="24"/>
          <w:szCs w:val="24"/>
        </w:rPr>
        <w:t xml:space="preserve">This is because the company charges depreciation on assets available for use. </w:t>
      </w:r>
      <w:r w:rsidR="00FF7FAB">
        <w:rPr>
          <w:rFonts w:ascii="Times New Roman" w:hAnsi="Times New Roman" w:cs="Times New Roman"/>
          <w:bCs/>
          <w:iCs/>
          <w:sz w:val="24"/>
          <w:szCs w:val="24"/>
        </w:rPr>
        <w:t xml:space="preserve">However, </w:t>
      </w:r>
      <w:r w:rsidR="00494EA3">
        <w:rPr>
          <w:rFonts w:ascii="Times New Roman" w:hAnsi="Times New Roman" w:cs="Times New Roman"/>
          <w:bCs/>
          <w:iCs/>
          <w:sz w:val="24"/>
          <w:szCs w:val="24"/>
        </w:rPr>
        <w:t>depreciation calculations include</w:t>
      </w:r>
      <w:r w:rsidR="00FF7FAB">
        <w:rPr>
          <w:rFonts w:ascii="Times New Roman" w:hAnsi="Times New Roman" w:cs="Times New Roman"/>
          <w:bCs/>
          <w:iCs/>
          <w:sz w:val="24"/>
          <w:szCs w:val="24"/>
        </w:rPr>
        <w:t xml:space="preserve"> </w:t>
      </w:r>
      <w:r w:rsidR="00FF7FAB" w:rsidRPr="00FF7FAB">
        <w:rPr>
          <w:rFonts w:ascii="Times New Roman" w:hAnsi="Times New Roman" w:cs="Times New Roman"/>
          <w:bCs/>
          <w:iCs/>
          <w:sz w:val="24"/>
          <w:szCs w:val="24"/>
        </w:rPr>
        <w:t>Measured and indicated resources in the Group’s</w:t>
      </w:r>
      <w:r w:rsidR="00ED2BCC">
        <w:rPr>
          <w:rFonts w:ascii="Times New Roman" w:hAnsi="Times New Roman" w:cs="Times New Roman"/>
          <w:bCs/>
          <w:iCs/>
          <w:sz w:val="24"/>
          <w:szCs w:val="24"/>
        </w:rPr>
        <w:t xml:space="preserve"> </w:t>
      </w:r>
      <w:r w:rsidR="00FF7FAB" w:rsidRPr="00FF7FAB">
        <w:rPr>
          <w:rFonts w:ascii="Times New Roman" w:hAnsi="Times New Roman" w:cs="Times New Roman"/>
          <w:bCs/>
          <w:iCs/>
          <w:sz w:val="24"/>
          <w:szCs w:val="24"/>
        </w:rPr>
        <w:t xml:space="preserve">Australian iron ore business. </w:t>
      </w:r>
    </w:p>
    <w:p w:rsidR="00494EA3" w:rsidRDefault="00494EA3" w:rsidP="007D0965">
      <w:pPr>
        <w:pStyle w:val="Body"/>
        <w:spacing w:line="360" w:lineRule="auto"/>
        <w:contextualSpacing/>
        <w:jc w:val="both"/>
        <w:rPr>
          <w:rFonts w:ascii="Times New Roman" w:hAnsi="Times New Roman" w:cs="Times New Roman"/>
          <w:bCs/>
          <w:iCs/>
          <w:sz w:val="24"/>
          <w:szCs w:val="24"/>
        </w:rPr>
      </w:pPr>
    </w:p>
    <w:p w:rsidR="00494EA3" w:rsidRDefault="00494EA3" w:rsidP="007D0965">
      <w:pPr>
        <w:pStyle w:val="Heading2"/>
        <w:spacing w:line="360" w:lineRule="auto"/>
      </w:pPr>
      <w:bookmarkStart w:id="3" w:name="_Toc450577190"/>
      <w:r>
        <w:t>Straight line basis</w:t>
      </w:r>
      <w:bookmarkEnd w:id="3"/>
    </w:p>
    <w:p w:rsidR="00226417" w:rsidRDefault="00226417" w:rsidP="007D0965">
      <w:pPr>
        <w:pStyle w:val="Body"/>
        <w:spacing w:line="360" w:lineRule="auto"/>
        <w:contextualSpacing/>
        <w:jc w:val="both"/>
        <w:rPr>
          <w:rFonts w:ascii="Times New Roman" w:hAnsi="Times New Roman" w:cs="Times New Roman"/>
          <w:bCs/>
          <w:iCs/>
          <w:sz w:val="24"/>
          <w:szCs w:val="24"/>
        </w:rPr>
      </w:pPr>
    </w:p>
    <w:p w:rsidR="00494EA3" w:rsidRDefault="00494EA3" w:rsidP="007D0965">
      <w:pPr>
        <w:autoSpaceDE w:val="0"/>
        <w:autoSpaceDN w:val="0"/>
        <w:adjustRightInd w:val="0"/>
        <w:spacing w:after="0" w:line="360" w:lineRule="auto"/>
        <w:jc w:val="both"/>
        <w:rPr>
          <w:rFonts w:ascii="Times New Roman" w:eastAsia="Arial Unicode MS" w:hAnsi="Times New Roman" w:cs="Times New Roman"/>
          <w:bCs/>
          <w:iCs/>
          <w:color w:val="000000"/>
          <w:sz w:val="24"/>
          <w:szCs w:val="24"/>
          <w:bdr w:val="nil"/>
        </w:rPr>
      </w:pPr>
      <w:r w:rsidRPr="00C6770F">
        <w:rPr>
          <w:rFonts w:ascii="Times New Roman" w:eastAsia="Arial Unicode MS" w:hAnsi="Times New Roman" w:cs="Times New Roman"/>
          <w:bCs/>
          <w:iCs/>
          <w:color w:val="000000"/>
          <w:sz w:val="24"/>
          <w:szCs w:val="24"/>
          <w:bdr w:val="nil"/>
        </w:rPr>
        <w:t xml:space="preserve">Rio Tinto charges depreciation </w:t>
      </w:r>
      <w:r w:rsidR="00383569" w:rsidRPr="00C6770F">
        <w:rPr>
          <w:rFonts w:ascii="Times New Roman" w:eastAsia="Arial Unicode MS" w:hAnsi="Times New Roman" w:cs="Times New Roman"/>
          <w:bCs/>
          <w:iCs/>
          <w:color w:val="000000"/>
          <w:sz w:val="24"/>
          <w:szCs w:val="24"/>
          <w:bdr w:val="nil"/>
        </w:rPr>
        <w:t xml:space="preserve">on assets within operations </w:t>
      </w:r>
      <w:r w:rsidR="00383569" w:rsidRPr="00C6770F">
        <w:rPr>
          <w:rFonts w:ascii="Times New Roman" w:eastAsia="Arial Unicode MS" w:hAnsi="Times New Roman" w:cs="Times New Roman"/>
          <w:bCs/>
          <w:iCs/>
          <w:color w:val="000000"/>
          <w:sz w:val="24"/>
          <w:szCs w:val="24"/>
          <w:bdr w:val="nil"/>
        </w:rPr>
        <w:tab/>
      </w:r>
      <w:r w:rsidR="00A511CD" w:rsidRPr="00C6770F">
        <w:rPr>
          <w:rFonts w:ascii="Times New Roman" w:eastAsia="Arial Unicode MS" w:hAnsi="Times New Roman" w:cs="Times New Roman"/>
          <w:bCs/>
          <w:iCs/>
          <w:color w:val="000000"/>
          <w:sz w:val="24"/>
          <w:szCs w:val="24"/>
          <w:bdr w:val="nil"/>
        </w:rPr>
        <w:t>on a straight line basis and</w:t>
      </w:r>
      <w:r w:rsidR="00C6770F" w:rsidRPr="00C6770F">
        <w:rPr>
          <w:rFonts w:ascii="Times New Roman" w:eastAsia="Arial Unicode MS" w:hAnsi="Times New Roman" w:cs="Times New Roman"/>
          <w:bCs/>
          <w:iCs/>
          <w:color w:val="000000"/>
          <w:sz w:val="24"/>
          <w:szCs w:val="24"/>
          <w:bdr w:val="nil"/>
        </w:rPr>
        <w:t xml:space="preserve"> where production is not expected to fluctuate significantly from one year to another or which have a physical life shorter than the related mine</w:t>
      </w:r>
      <w:r w:rsidR="00396862">
        <w:rPr>
          <w:rFonts w:ascii="Times New Roman" w:eastAsia="Arial Unicode MS" w:hAnsi="Times New Roman" w:cs="Times New Roman"/>
          <w:bCs/>
          <w:iCs/>
          <w:color w:val="000000"/>
          <w:sz w:val="24"/>
          <w:szCs w:val="24"/>
          <w:bdr w:val="nil"/>
        </w:rPr>
        <w:t xml:space="preserve"> (</w:t>
      </w:r>
      <w:r w:rsidR="00396862">
        <w:rPr>
          <w:rFonts w:ascii="Times New Roman" w:eastAsia="Times New Roman" w:hAnsi="Times New Roman" w:cs="Times New Roman"/>
          <w:sz w:val="24"/>
          <w:szCs w:val="24"/>
        </w:rPr>
        <w:t xml:space="preserve">Levin, E., Montagnoli, A., Pryce, G., </w:t>
      </w:r>
      <w:r w:rsidR="00396862" w:rsidRPr="00322BE1">
        <w:rPr>
          <w:rFonts w:ascii="Times New Roman" w:eastAsia="Times New Roman" w:hAnsi="Times New Roman" w:cs="Times New Roman"/>
          <w:sz w:val="24"/>
          <w:szCs w:val="24"/>
        </w:rPr>
        <w:t>2011)</w:t>
      </w:r>
      <w:r w:rsidR="00C6770F" w:rsidRPr="00C6770F">
        <w:rPr>
          <w:rFonts w:ascii="Times New Roman" w:eastAsia="Arial Unicode MS" w:hAnsi="Times New Roman" w:cs="Times New Roman"/>
          <w:bCs/>
          <w:iCs/>
          <w:color w:val="000000"/>
          <w:sz w:val="24"/>
          <w:szCs w:val="24"/>
          <w:bdr w:val="nil"/>
        </w:rPr>
        <w:t xml:space="preserve">. </w:t>
      </w:r>
    </w:p>
    <w:p w:rsidR="005131BC" w:rsidRDefault="005131BC" w:rsidP="007D0965">
      <w:pPr>
        <w:autoSpaceDE w:val="0"/>
        <w:autoSpaceDN w:val="0"/>
        <w:adjustRightInd w:val="0"/>
        <w:spacing w:after="0" w:line="360" w:lineRule="auto"/>
        <w:jc w:val="both"/>
        <w:rPr>
          <w:rFonts w:ascii="Times New Roman" w:eastAsia="Arial Unicode MS" w:hAnsi="Times New Roman" w:cs="Times New Roman"/>
          <w:bCs/>
          <w:iCs/>
          <w:color w:val="000000"/>
          <w:sz w:val="24"/>
          <w:szCs w:val="24"/>
          <w:bdr w:val="nil"/>
        </w:rPr>
      </w:pPr>
    </w:p>
    <w:p w:rsidR="005131BC" w:rsidRPr="00C6770F" w:rsidRDefault="005131BC" w:rsidP="007D0965">
      <w:pPr>
        <w:pStyle w:val="Heading2"/>
        <w:spacing w:line="360" w:lineRule="auto"/>
        <w:rPr>
          <w:rFonts w:eastAsia="Arial Unicode MS"/>
          <w:bdr w:val="nil"/>
        </w:rPr>
      </w:pPr>
      <w:bookmarkStart w:id="4" w:name="_Toc450577191"/>
      <w:r>
        <w:rPr>
          <w:rFonts w:eastAsia="Arial Unicode MS"/>
          <w:bdr w:val="nil"/>
        </w:rPr>
        <w:t>Impairment charges:</w:t>
      </w:r>
      <w:bookmarkEnd w:id="4"/>
    </w:p>
    <w:p w:rsidR="00494EA3" w:rsidRPr="00E77434" w:rsidRDefault="00494EA3" w:rsidP="007D0965">
      <w:pPr>
        <w:pStyle w:val="Body"/>
        <w:spacing w:line="360" w:lineRule="auto"/>
        <w:contextualSpacing/>
        <w:jc w:val="both"/>
        <w:rPr>
          <w:rFonts w:ascii="Times New Roman" w:hAnsi="Times New Roman" w:cs="Times New Roman"/>
          <w:bCs/>
          <w:iCs/>
          <w:sz w:val="24"/>
          <w:szCs w:val="24"/>
        </w:rPr>
      </w:pPr>
    </w:p>
    <w:p w:rsidR="00E03042" w:rsidRDefault="001322A3" w:rsidP="007D0965">
      <w:pPr>
        <w:pStyle w:val="Body"/>
        <w:spacing w:line="36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Impairment charges </w:t>
      </w:r>
      <w:r w:rsidR="00374568">
        <w:rPr>
          <w:rFonts w:ascii="Times New Roman" w:hAnsi="Times New Roman" w:cs="Times New Roman"/>
          <w:bCs/>
          <w:iCs/>
          <w:sz w:val="24"/>
          <w:szCs w:val="24"/>
        </w:rPr>
        <w:t xml:space="preserve">are recorded on smallest identifiable assets and </w:t>
      </w:r>
      <w:r w:rsidR="002977F2">
        <w:rPr>
          <w:rFonts w:ascii="Times New Roman" w:hAnsi="Times New Roman" w:cs="Times New Roman"/>
          <w:bCs/>
          <w:iCs/>
          <w:sz w:val="24"/>
          <w:szCs w:val="24"/>
        </w:rPr>
        <w:t xml:space="preserve">generating cash inflows which are </w:t>
      </w:r>
      <w:r w:rsidR="00103BDB">
        <w:rPr>
          <w:rFonts w:ascii="Times New Roman" w:hAnsi="Times New Roman" w:cs="Times New Roman"/>
          <w:bCs/>
          <w:iCs/>
          <w:sz w:val="24"/>
          <w:szCs w:val="24"/>
        </w:rPr>
        <w:t>dependent</w:t>
      </w:r>
      <w:r w:rsidR="002977F2">
        <w:rPr>
          <w:rFonts w:ascii="Times New Roman" w:hAnsi="Times New Roman" w:cs="Times New Roman"/>
          <w:bCs/>
          <w:iCs/>
          <w:sz w:val="24"/>
          <w:szCs w:val="24"/>
        </w:rPr>
        <w:t xml:space="preserve"> on cash inflow of other assets. </w:t>
      </w:r>
      <w:r w:rsidR="00103BDB">
        <w:rPr>
          <w:rFonts w:ascii="Times New Roman" w:hAnsi="Times New Roman" w:cs="Times New Roman"/>
          <w:bCs/>
          <w:iCs/>
          <w:sz w:val="24"/>
          <w:szCs w:val="24"/>
        </w:rPr>
        <w:t>The company identifies separate cash generating units and monitors intermediate products through active market</w:t>
      </w:r>
      <w:r w:rsidR="00396862">
        <w:rPr>
          <w:rFonts w:ascii="Times New Roman" w:hAnsi="Times New Roman" w:cs="Times New Roman"/>
          <w:bCs/>
          <w:iCs/>
          <w:sz w:val="24"/>
          <w:szCs w:val="24"/>
        </w:rPr>
        <w:t xml:space="preserve"> (</w:t>
      </w:r>
      <w:r w:rsidR="00396862">
        <w:rPr>
          <w:rFonts w:ascii="Times New Roman" w:hAnsi="Times New Roman" w:cs="Times New Roman"/>
          <w:sz w:val="24"/>
          <w:szCs w:val="24"/>
        </w:rPr>
        <w:t xml:space="preserve">Misati, R., Nyamongo, E., </w:t>
      </w:r>
      <w:r w:rsidR="00396862" w:rsidRPr="003A15BC">
        <w:rPr>
          <w:rFonts w:ascii="Times New Roman" w:hAnsi="Times New Roman" w:cs="Times New Roman"/>
          <w:sz w:val="24"/>
          <w:szCs w:val="24"/>
        </w:rPr>
        <w:t>2012)</w:t>
      </w:r>
      <w:r w:rsidR="00103BDB">
        <w:rPr>
          <w:rFonts w:ascii="Times New Roman" w:hAnsi="Times New Roman" w:cs="Times New Roman"/>
          <w:bCs/>
          <w:iCs/>
          <w:sz w:val="24"/>
          <w:szCs w:val="24"/>
        </w:rPr>
        <w:t xml:space="preserve">. </w:t>
      </w:r>
      <w:r w:rsidR="00AB21BB">
        <w:rPr>
          <w:rFonts w:ascii="Times New Roman" w:hAnsi="Times New Roman" w:cs="Times New Roman"/>
          <w:bCs/>
          <w:iCs/>
          <w:sz w:val="24"/>
          <w:szCs w:val="24"/>
        </w:rPr>
        <w:t xml:space="preserve">In addition, intermediate products are further processed </w:t>
      </w:r>
      <w:r w:rsidR="001C7C6A">
        <w:rPr>
          <w:rFonts w:ascii="Times New Roman" w:hAnsi="Times New Roman" w:cs="Times New Roman"/>
          <w:bCs/>
          <w:iCs/>
          <w:sz w:val="24"/>
          <w:szCs w:val="24"/>
        </w:rPr>
        <w:t xml:space="preserve">internally and thus cash flows are not </w:t>
      </w:r>
      <w:r w:rsidR="006C09D6">
        <w:rPr>
          <w:rFonts w:ascii="Times New Roman" w:hAnsi="Times New Roman" w:cs="Times New Roman"/>
          <w:bCs/>
          <w:iCs/>
          <w:sz w:val="24"/>
          <w:szCs w:val="24"/>
        </w:rPr>
        <w:t xml:space="preserve">independent. On the contrary, property, plant and equipment </w:t>
      </w:r>
      <w:r w:rsidR="001B2B6B">
        <w:rPr>
          <w:rFonts w:ascii="Times New Roman" w:hAnsi="Times New Roman" w:cs="Times New Roman"/>
          <w:bCs/>
          <w:iCs/>
          <w:sz w:val="24"/>
          <w:szCs w:val="24"/>
        </w:rPr>
        <w:t xml:space="preserve">with finite lives </w:t>
      </w:r>
      <w:r w:rsidR="00634457">
        <w:rPr>
          <w:rFonts w:ascii="Times New Roman" w:hAnsi="Times New Roman" w:cs="Times New Roman"/>
          <w:bCs/>
          <w:iCs/>
          <w:sz w:val="24"/>
          <w:szCs w:val="24"/>
        </w:rPr>
        <w:t xml:space="preserve">are reviewed for impairment in case there is an indication of non-recovery of </w:t>
      </w:r>
      <w:r w:rsidR="008515FC">
        <w:rPr>
          <w:rFonts w:ascii="Times New Roman" w:hAnsi="Times New Roman" w:cs="Times New Roman"/>
          <w:bCs/>
          <w:iCs/>
          <w:sz w:val="24"/>
          <w:szCs w:val="24"/>
        </w:rPr>
        <w:t xml:space="preserve">amount. </w:t>
      </w:r>
      <w:r w:rsidR="00831F44">
        <w:rPr>
          <w:rFonts w:ascii="Times New Roman" w:hAnsi="Times New Roman" w:cs="Times New Roman"/>
          <w:bCs/>
          <w:iCs/>
          <w:sz w:val="24"/>
          <w:szCs w:val="24"/>
        </w:rPr>
        <w:t xml:space="preserve">The </w:t>
      </w:r>
      <w:r w:rsidR="00831F44">
        <w:rPr>
          <w:rFonts w:ascii="Times New Roman" w:hAnsi="Times New Roman" w:cs="Times New Roman"/>
          <w:bCs/>
          <w:iCs/>
          <w:sz w:val="24"/>
          <w:szCs w:val="24"/>
        </w:rPr>
        <w:lastRenderedPageBreak/>
        <w:t>company conducts an</w:t>
      </w:r>
      <w:r w:rsidR="0087753C">
        <w:rPr>
          <w:rFonts w:ascii="Times New Roman" w:hAnsi="Times New Roman" w:cs="Times New Roman"/>
          <w:bCs/>
          <w:iCs/>
          <w:sz w:val="24"/>
          <w:szCs w:val="24"/>
        </w:rPr>
        <w:t xml:space="preserve"> </w:t>
      </w:r>
      <w:r w:rsidR="00831F44">
        <w:rPr>
          <w:rFonts w:ascii="Times New Roman" w:hAnsi="Times New Roman" w:cs="Times New Roman"/>
          <w:bCs/>
          <w:iCs/>
          <w:sz w:val="24"/>
          <w:szCs w:val="24"/>
        </w:rPr>
        <w:t xml:space="preserve">internal </w:t>
      </w:r>
      <w:r w:rsidR="005E0A5E">
        <w:rPr>
          <w:rFonts w:ascii="Times New Roman" w:hAnsi="Times New Roman" w:cs="Times New Roman"/>
          <w:bCs/>
          <w:iCs/>
          <w:sz w:val="24"/>
          <w:szCs w:val="24"/>
        </w:rPr>
        <w:t xml:space="preserve">annual </w:t>
      </w:r>
      <w:r w:rsidR="00831F44">
        <w:rPr>
          <w:rFonts w:ascii="Times New Roman" w:hAnsi="Times New Roman" w:cs="Times New Roman"/>
          <w:bCs/>
          <w:iCs/>
          <w:sz w:val="24"/>
          <w:szCs w:val="24"/>
        </w:rPr>
        <w:t xml:space="preserve">review </w:t>
      </w:r>
      <w:r w:rsidR="0087753C">
        <w:rPr>
          <w:rFonts w:ascii="Times New Roman" w:hAnsi="Times New Roman" w:cs="Times New Roman"/>
          <w:bCs/>
          <w:iCs/>
          <w:sz w:val="24"/>
          <w:szCs w:val="24"/>
        </w:rPr>
        <w:t xml:space="preserve">of assets </w:t>
      </w:r>
      <w:r w:rsidR="0006169C">
        <w:rPr>
          <w:rFonts w:ascii="Times New Roman" w:hAnsi="Times New Roman" w:cs="Times New Roman"/>
          <w:bCs/>
          <w:iCs/>
          <w:sz w:val="24"/>
          <w:szCs w:val="24"/>
        </w:rPr>
        <w:t xml:space="preserve">for </w:t>
      </w:r>
      <w:r w:rsidR="00582CF9">
        <w:rPr>
          <w:rFonts w:ascii="Times New Roman" w:hAnsi="Times New Roman" w:cs="Times New Roman"/>
          <w:bCs/>
          <w:iCs/>
          <w:sz w:val="24"/>
          <w:szCs w:val="24"/>
        </w:rPr>
        <w:t>recognition</w:t>
      </w:r>
      <w:r w:rsidR="0006169C">
        <w:rPr>
          <w:rFonts w:ascii="Times New Roman" w:hAnsi="Times New Roman" w:cs="Times New Roman"/>
          <w:bCs/>
          <w:iCs/>
          <w:sz w:val="24"/>
          <w:szCs w:val="24"/>
        </w:rPr>
        <w:t xml:space="preserve"> of </w:t>
      </w:r>
      <w:r w:rsidR="007B5FCD">
        <w:rPr>
          <w:rFonts w:ascii="Times New Roman" w:hAnsi="Times New Roman" w:cs="Times New Roman"/>
          <w:bCs/>
          <w:iCs/>
          <w:sz w:val="24"/>
          <w:szCs w:val="24"/>
        </w:rPr>
        <w:t>impairment</w:t>
      </w:r>
      <w:r w:rsidR="00582CF9">
        <w:rPr>
          <w:rFonts w:ascii="Times New Roman" w:hAnsi="Times New Roman" w:cs="Times New Roman"/>
          <w:bCs/>
          <w:iCs/>
          <w:sz w:val="24"/>
          <w:szCs w:val="24"/>
        </w:rPr>
        <w:t xml:space="preserve"> losses</w:t>
      </w:r>
      <w:r w:rsidR="00396862">
        <w:rPr>
          <w:rFonts w:ascii="Times New Roman" w:hAnsi="Times New Roman" w:cs="Times New Roman"/>
          <w:bCs/>
          <w:iCs/>
          <w:sz w:val="24"/>
          <w:szCs w:val="24"/>
        </w:rPr>
        <w:t xml:space="preserve"> (</w:t>
      </w:r>
      <w:r w:rsidR="00396862">
        <w:rPr>
          <w:rFonts w:ascii="Times New Roman" w:eastAsia="Times New Roman" w:hAnsi="Times New Roman" w:cs="Times New Roman"/>
          <w:sz w:val="24"/>
          <w:szCs w:val="24"/>
        </w:rPr>
        <w:t xml:space="preserve">Parker, D., </w:t>
      </w:r>
      <w:r w:rsidR="00396862" w:rsidRPr="005E7194">
        <w:rPr>
          <w:rFonts w:ascii="Times New Roman" w:eastAsia="Times New Roman" w:hAnsi="Times New Roman" w:cs="Times New Roman"/>
          <w:sz w:val="24"/>
          <w:szCs w:val="24"/>
        </w:rPr>
        <w:t>2011)</w:t>
      </w:r>
      <w:r w:rsidR="00582CF9">
        <w:rPr>
          <w:rFonts w:ascii="Times New Roman" w:hAnsi="Times New Roman" w:cs="Times New Roman"/>
          <w:bCs/>
          <w:iCs/>
          <w:sz w:val="24"/>
          <w:szCs w:val="24"/>
        </w:rPr>
        <w:t xml:space="preserve">. </w:t>
      </w:r>
      <w:r w:rsidR="007B5FCD">
        <w:rPr>
          <w:rFonts w:ascii="Times New Roman" w:hAnsi="Times New Roman" w:cs="Times New Roman"/>
          <w:bCs/>
          <w:iCs/>
          <w:sz w:val="24"/>
          <w:szCs w:val="24"/>
        </w:rPr>
        <w:t xml:space="preserve">External </w:t>
      </w:r>
      <w:r w:rsidR="002463C1">
        <w:rPr>
          <w:rFonts w:ascii="Times New Roman" w:hAnsi="Times New Roman" w:cs="Times New Roman"/>
          <w:bCs/>
          <w:iCs/>
          <w:sz w:val="24"/>
          <w:szCs w:val="24"/>
        </w:rPr>
        <w:t>factors</w:t>
      </w:r>
      <w:r w:rsidR="007B5FCD">
        <w:rPr>
          <w:rFonts w:ascii="Times New Roman" w:hAnsi="Times New Roman" w:cs="Times New Roman"/>
          <w:bCs/>
          <w:iCs/>
          <w:sz w:val="24"/>
          <w:szCs w:val="24"/>
        </w:rPr>
        <w:t xml:space="preserve"> are also </w:t>
      </w:r>
      <w:r w:rsidR="002463C1">
        <w:rPr>
          <w:rFonts w:ascii="Times New Roman" w:hAnsi="Times New Roman" w:cs="Times New Roman"/>
          <w:bCs/>
          <w:iCs/>
          <w:sz w:val="24"/>
          <w:szCs w:val="24"/>
        </w:rPr>
        <w:t xml:space="preserve">monitored and </w:t>
      </w:r>
      <w:r w:rsidR="007B5FCD">
        <w:rPr>
          <w:rFonts w:ascii="Times New Roman" w:hAnsi="Times New Roman" w:cs="Times New Roman"/>
          <w:bCs/>
          <w:iCs/>
          <w:sz w:val="24"/>
          <w:szCs w:val="24"/>
        </w:rPr>
        <w:t xml:space="preserve">taken into consideration </w:t>
      </w:r>
      <w:r w:rsidR="003516B2">
        <w:rPr>
          <w:rFonts w:ascii="Times New Roman" w:hAnsi="Times New Roman" w:cs="Times New Roman"/>
          <w:bCs/>
          <w:iCs/>
          <w:sz w:val="24"/>
          <w:szCs w:val="24"/>
        </w:rPr>
        <w:t xml:space="preserve">for </w:t>
      </w:r>
      <w:r w:rsidR="003E2DE5">
        <w:rPr>
          <w:rFonts w:ascii="Times New Roman" w:hAnsi="Times New Roman" w:cs="Times New Roman"/>
          <w:bCs/>
          <w:iCs/>
          <w:sz w:val="24"/>
          <w:szCs w:val="24"/>
        </w:rPr>
        <w:t xml:space="preserve">recording of </w:t>
      </w:r>
      <w:r w:rsidR="003516B2">
        <w:rPr>
          <w:rFonts w:ascii="Times New Roman" w:hAnsi="Times New Roman" w:cs="Times New Roman"/>
          <w:bCs/>
          <w:iCs/>
          <w:sz w:val="24"/>
          <w:szCs w:val="24"/>
        </w:rPr>
        <w:t xml:space="preserve">impairment charges. </w:t>
      </w:r>
    </w:p>
    <w:p w:rsidR="00CA2ACE" w:rsidRDefault="00CA2ACE" w:rsidP="007D0965">
      <w:pPr>
        <w:pStyle w:val="Heading2"/>
        <w:spacing w:line="360" w:lineRule="auto"/>
      </w:pPr>
      <w:bookmarkStart w:id="5" w:name="_Toc450577192"/>
      <w:r>
        <w:t>Determination of ore reserve and mineral resource estimate</w:t>
      </w:r>
      <w:bookmarkEnd w:id="5"/>
      <w:r>
        <w:t xml:space="preserve"> </w:t>
      </w:r>
    </w:p>
    <w:p w:rsidR="006913F6" w:rsidRDefault="006913F6" w:rsidP="007D0965">
      <w:pPr>
        <w:autoSpaceDE w:val="0"/>
        <w:autoSpaceDN w:val="0"/>
        <w:adjustRightInd w:val="0"/>
        <w:spacing w:after="0" w:line="360" w:lineRule="auto"/>
        <w:jc w:val="both"/>
        <w:rPr>
          <w:rFonts w:ascii="Times New Roman" w:eastAsia="Arial Unicode MS" w:hAnsi="Times New Roman" w:cs="Times New Roman"/>
          <w:bCs/>
          <w:iCs/>
          <w:color w:val="000000"/>
          <w:sz w:val="24"/>
          <w:szCs w:val="24"/>
          <w:bdr w:val="nil"/>
        </w:rPr>
      </w:pPr>
    </w:p>
    <w:p w:rsidR="009D3027" w:rsidRDefault="00E8543E" w:rsidP="007D0965">
      <w:pPr>
        <w:autoSpaceDE w:val="0"/>
        <w:autoSpaceDN w:val="0"/>
        <w:adjustRightInd w:val="0"/>
        <w:spacing w:after="0" w:line="360" w:lineRule="auto"/>
        <w:jc w:val="both"/>
        <w:rPr>
          <w:rFonts w:ascii="Times New Roman" w:eastAsia="Arial Unicode MS" w:hAnsi="Times New Roman" w:cs="Times New Roman"/>
          <w:bCs/>
          <w:iCs/>
          <w:color w:val="000000"/>
          <w:sz w:val="24"/>
          <w:szCs w:val="24"/>
          <w:bdr w:val="nil"/>
        </w:rPr>
      </w:pPr>
      <w:r w:rsidRPr="006913F6">
        <w:rPr>
          <w:rFonts w:ascii="Times New Roman" w:eastAsia="Arial Unicode MS" w:hAnsi="Times New Roman" w:cs="Times New Roman"/>
          <w:bCs/>
          <w:iCs/>
          <w:color w:val="000000"/>
          <w:sz w:val="24"/>
          <w:szCs w:val="24"/>
          <w:bdr w:val="nil"/>
        </w:rPr>
        <w:t xml:space="preserve">Ore reserve determination and </w:t>
      </w:r>
      <w:r w:rsidR="00456868" w:rsidRPr="006913F6">
        <w:rPr>
          <w:rFonts w:ascii="Times New Roman" w:eastAsia="Arial Unicode MS" w:hAnsi="Times New Roman" w:cs="Times New Roman"/>
          <w:bCs/>
          <w:iCs/>
          <w:color w:val="000000"/>
          <w:sz w:val="24"/>
          <w:szCs w:val="24"/>
          <w:bdr w:val="nil"/>
        </w:rPr>
        <w:t xml:space="preserve">estimation of mineral resource are based on </w:t>
      </w:r>
      <w:r w:rsidR="006913F6" w:rsidRPr="006913F6">
        <w:rPr>
          <w:rFonts w:ascii="Times New Roman" w:eastAsia="Arial Unicode MS" w:hAnsi="Times New Roman" w:cs="Times New Roman"/>
          <w:bCs/>
          <w:iCs/>
          <w:color w:val="000000"/>
          <w:sz w:val="24"/>
          <w:szCs w:val="24"/>
          <w:bdr w:val="nil"/>
        </w:rPr>
        <w:t>information compiled by Competent Persons as defined in accordance with the Australasian Code for Reporting of Exploration Results</w:t>
      </w:r>
      <w:r w:rsidR="00E1537F" w:rsidRPr="006913F6">
        <w:rPr>
          <w:rFonts w:ascii="Times New Roman" w:eastAsia="Arial Unicode MS" w:hAnsi="Times New Roman" w:cs="Times New Roman"/>
          <w:bCs/>
          <w:iCs/>
          <w:color w:val="000000"/>
          <w:sz w:val="24"/>
          <w:szCs w:val="24"/>
          <w:bdr w:val="nil"/>
        </w:rPr>
        <w:t xml:space="preserve">, </w:t>
      </w:r>
      <w:r w:rsidR="00E1537F">
        <w:rPr>
          <w:rFonts w:ascii="Times New Roman" w:eastAsia="Arial Unicode MS" w:hAnsi="Times New Roman" w:cs="Times New Roman"/>
          <w:bCs/>
          <w:iCs/>
          <w:color w:val="000000"/>
          <w:sz w:val="24"/>
          <w:szCs w:val="24"/>
          <w:bdr w:val="nil"/>
        </w:rPr>
        <w:t>Mineral</w:t>
      </w:r>
      <w:r w:rsidR="006913F6" w:rsidRPr="006913F6">
        <w:rPr>
          <w:rFonts w:ascii="Times New Roman" w:eastAsia="Arial Unicode MS" w:hAnsi="Times New Roman" w:cs="Times New Roman"/>
          <w:bCs/>
          <w:iCs/>
          <w:color w:val="000000"/>
          <w:sz w:val="24"/>
          <w:szCs w:val="24"/>
          <w:bdr w:val="nil"/>
        </w:rPr>
        <w:t xml:space="preserve"> Resources and Ore Reserves of December 2012 (the “JORC code”, which is produced by the Australasian Joint Ore Reserves Committee).</w:t>
      </w:r>
      <w:r w:rsidR="00E1537F">
        <w:rPr>
          <w:rFonts w:ascii="Times New Roman" w:eastAsia="Arial Unicode MS" w:hAnsi="Times New Roman" w:cs="Times New Roman"/>
          <w:bCs/>
          <w:iCs/>
          <w:color w:val="000000"/>
          <w:sz w:val="24"/>
          <w:szCs w:val="24"/>
          <w:bdr w:val="nil"/>
        </w:rPr>
        <w:t xml:space="preserve"> These estimates and determination are used </w:t>
      </w:r>
      <w:r w:rsidR="0011627A">
        <w:rPr>
          <w:rFonts w:ascii="Times New Roman" w:eastAsia="Arial Unicode MS" w:hAnsi="Times New Roman" w:cs="Times New Roman"/>
          <w:bCs/>
          <w:iCs/>
          <w:color w:val="000000"/>
          <w:sz w:val="24"/>
          <w:szCs w:val="24"/>
          <w:bdr w:val="nil"/>
        </w:rPr>
        <w:t>by the company for charging depreciation and amortization</w:t>
      </w:r>
      <w:r w:rsidR="00396862">
        <w:rPr>
          <w:rFonts w:ascii="Times New Roman" w:eastAsia="Arial Unicode MS" w:hAnsi="Times New Roman" w:cs="Times New Roman"/>
          <w:bCs/>
          <w:iCs/>
          <w:color w:val="000000"/>
          <w:sz w:val="24"/>
          <w:szCs w:val="24"/>
          <w:bdr w:val="nil"/>
        </w:rPr>
        <w:t xml:space="preserve"> (</w:t>
      </w:r>
      <w:r w:rsidR="00396862">
        <w:rPr>
          <w:rFonts w:ascii="Times New Roman" w:eastAsia="Times New Roman" w:hAnsi="Times New Roman" w:cs="Times New Roman"/>
          <w:sz w:val="24"/>
          <w:szCs w:val="24"/>
        </w:rPr>
        <w:t xml:space="preserve">Prokop, J., </w:t>
      </w:r>
      <w:r w:rsidR="00396862" w:rsidRPr="00322BE1">
        <w:rPr>
          <w:rFonts w:ascii="Times New Roman" w:eastAsia="Times New Roman" w:hAnsi="Times New Roman" w:cs="Times New Roman"/>
          <w:sz w:val="24"/>
          <w:szCs w:val="24"/>
        </w:rPr>
        <w:t>2013</w:t>
      </w:r>
      <w:r w:rsidR="00396862">
        <w:rPr>
          <w:rFonts w:ascii="Times New Roman" w:eastAsia="Times New Roman" w:hAnsi="Times New Roman" w:cs="Times New Roman"/>
          <w:sz w:val="24"/>
          <w:szCs w:val="24"/>
        </w:rPr>
        <w:t>)</w:t>
      </w:r>
      <w:r w:rsidR="0011627A">
        <w:rPr>
          <w:rFonts w:ascii="Times New Roman" w:eastAsia="Arial Unicode MS" w:hAnsi="Times New Roman" w:cs="Times New Roman"/>
          <w:bCs/>
          <w:iCs/>
          <w:color w:val="000000"/>
          <w:sz w:val="24"/>
          <w:szCs w:val="24"/>
          <w:bdr w:val="nil"/>
        </w:rPr>
        <w:t xml:space="preserve">. In addition, </w:t>
      </w:r>
      <w:r w:rsidR="00EB3591">
        <w:rPr>
          <w:rFonts w:ascii="Times New Roman" w:eastAsia="Arial Unicode MS" w:hAnsi="Times New Roman" w:cs="Times New Roman"/>
          <w:bCs/>
          <w:iCs/>
          <w:color w:val="000000"/>
          <w:sz w:val="24"/>
          <w:szCs w:val="24"/>
          <w:bdr w:val="nil"/>
        </w:rPr>
        <w:t xml:space="preserve">estimates are used for recording </w:t>
      </w:r>
      <w:r w:rsidR="00DD18B2">
        <w:rPr>
          <w:rFonts w:ascii="Times New Roman" w:eastAsia="Arial Unicode MS" w:hAnsi="Times New Roman" w:cs="Times New Roman"/>
          <w:bCs/>
          <w:iCs/>
          <w:color w:val="000000"/>
          <w:sz w:val="24"/>
          <w:szCs w:val="24"/>
          <w:bdr w:val="nil"/>
        </w:rPr>
        <w:t xml:space="preserve">impairment charges </w:t>
      </w:r>
      <w:r w:rsidR="001F1116">
        <w:rPr>
          <w:rFonts w:ascii="Times New Roman" w:eastAsia="Arial Unicode MS" w:hAnsi="Times New Roman" w:cs="Times New Roman"/>
          <w:bCs/>
          <w:iCs/>
          <w:color w:val="000000"/>
          <w:sz w:val="24"/>
          <w:szCs w:val="24"/>
          <w:bdr w:val="nil"/>
        </w:rPr>
        <w:t xml:space="preserve">and forecasting time payment of close down and </w:t>
      </w:r>
      <w:r w:rsidR="00181E49">
        <w:rPr>
          <w:rFonts w:ascii="Times New Roman" w:eastAsia="Arial Unicode MS" w:hAnsi="Times New Roman" w:cs="Times New Roman"/>
          <w:bCs/>
          <w:iCs/>
          <w:color w:val="000000"/>
          <w:sz w:val="24"/>
          <w:szCs w:val="24"/>
          <w:bdr w:val="nil"/>
        </w:rPr>
        <w:t>restoration costs</w:t>
      </w:r>
      <w:r w:rsidR="007765A1">
        <w:rPr>
          <w:rFonts w:ascii="Times New Roman" w:eastAsia="Arial Unicode MS" w:hAnsi="Times New Roman" w:cs="Times New Roman"/>
          <w:bCs/>
          <w:iCs/>
          <w:color w:val="000000"/>
          <w:sz w:val="24"/>
          <w:szCs w:val="24"/>
          <w:bdr w:val="nil"/>
        </w:rPr>
        <w:t xml:space="preserve">. </w:t>
      </w:r>
      <w:r w:rsidR="00AF4731">
        <w:rPr>
          <w:rFonts w:ascii="Times New Roman" w:eastAsia="Arial Unicode MS" w:hAnsi="Times New Roman" w:cs="Times New Roman"/>
          <w:bCs/>
          <w:iCs/>
          <w:color w:val="000000"/>
          <w:sz w:val="24"/>
          <w:szCs w:val="24"/>
          <w:bdr w:val="nil"/>
        </w:rPr>
        <w:t xml:space="preserve">Thus, </w:t>
      </w:r>
      <w:r w:rsidR="00FB0B64">
        <w:rPr>
          <w:rFonts w:ascii="Times New Roman" w:eastAsia="Arial Unicode MS" w:hAnsi="Times New Roman" w:cs="Times New Roman"/>
          <w:bCs/>
          <w:iCs/>
          <w:color w:val="000000"/>
          <w:sz w:val="24"/>
          <w:szCs w:val="24"/>
          <w:bdr w:val="nil"/>
        </w:rPr>
        <w:t>estimates</w:t>
      </w:r>
      <w:r w:rsidR="00AF4731">
        <w:rPr>
          <w:rFonts w:ascii="Times New Roman" w:eastAsia="Arial Unicode MS" w:hAnsi="Times New Roman" w:cs="Times New Roman"/>
          <w:bCs/>
          <w:iCs/>
          <w:color w:val="000000"/>
          <w:sz w:val="24"/>
          <w:szCs w:val="24"/>
          <w:bdr w:val="nil"/>
        </w:rPr>
        <w:t xml:space="preserve"> form an integral </w:t>
      </w:r>
      <w:r w:rsidR="00FB0B64">
        <w:rPr>
          <w:rFonts w:ascii="Times New Roman" w:eastAsia="Arial Unicode MS" w:hAnsi="Times New Roman" w:cs="Times New Roman"/>
          <w:bCs/>
          <w:iCs/>
          <w:color w:val="000000"/>
          <w:sz w:val="24"/>
          <w:szCs w:val="24"/>
          <w:bdr w:val="nil"/>
        </w:rPr>
        <w:t>part</w:t>
      </w:r>
      <w:r w:rsidR="00AF4731">
        <w:rPr>
          <w:rFonts w:ascii="Times New Roman" w:eastAsia="Arial Unicode MS" w:hAnsi="Times New Roman" w:cs="Times New Roman"/>
          <w:bCs/>
          <w:iCs/>
          <w:color w:val="000000"/>
          <w:sz w:val="24"/>
          <w:szCs w:val="24"/>
          <w:bdr w:val="nil"/>
        </w:rPr>
        <w:t xml:space="preserve"> of accounting </w:t>
      </w:r>
      <w:r w:rsidR="00FB0B64">
        <w:rPr>
          <w:rFonts w:ascii="Times New Roman" w:eastAsia="Arial Unicode MS" w:hAnsi="Times New Roman" w:cs="Times New Roman"/>
          <w:bCs/>
          <w:iCs/>
          <w:color w:val="000000"/>
          <w:sz w:val="24"/>
          <w:szCs w:val="24"/>
          <w:bdr w:val="nil"/>
        </w:rPr>
        <w:t>convention</w:t>
      </w:r>
      <w:r w:rsidR="00AF4731">
        <w:rPr>
          <w:rFonts w:ascii="Times New Roman" w:eastAsia="Arial Unicode MS" w:hAnsi="Times New Roman" w:cs="Times New Roman"/>
          <w:bCs/>
          <w:iCs/>
          <w:color w:val="000000"/>
          <w:sz w:val="24"/>
          <w:szCs w:val="24"/>
          <w:bdr w:val="nil"/>
        </w:rPr>
        <w:t xml:space="preserve"> adopted and practiced by the company in </w:t>
      </w:r>
      <w:r w:rsidR="00FB0B64">
        <w:rPr>
          <w:rFonts w:ascii="Times New Roman" w:eastAsia="Arial Unicode MS" w:hAnsi="Times New Roman" w:cs="Times New Roman"/>
          <w:bCs/>
          <w:iCs/>
          <w:color w:val="000000"/>
          <w:sz w:val="24"/>
          <w:szCs w:val="24"/>
          <w:bdr w:val="nil"/>
        </w:rPr>
        <w:t>preparation</w:t>
      </w:r>
      <w:r w:rsidR="00AF4731">
        <w:rPr>
          <w:rFonts w:ascii="Times New Roman" w:eastAsia="Arial Unicode MS" w:hAnsi="Times New Roman" w:cs="Times New Roman"/>
          <w:bCs/>
          <w:iCs/>
          <w:color w:val="000000"/>
          <w:sz w:val="24"/>
          <w:szCs w:val="24"/>
          <w:bdr w:val="nil"/>
        </w:rPr>
        <w:t xml:space="preserve"> of financial </w:t>
      </w:r>
      <w:r w:rsidR="00FB0B64">
        <w:rPr>
          <w:rFonts w:ascii="Times New Roman" w:eastAsia="Arial Unicode MS" w:hAnsi="Times New Roman" w:cs="Times New Roman"/>
          <w:bCs/>
          <w:iCs/>
          <w:color w:val="000000"/>
          <w:sz w:val="24"/>
          <w:szCs w:val="24"/>
          <w:bdr w:val="nil"/>
        </w:rPr>
        <w:t xml:space="preserve">statements. </w:t>
      </w:r>
    </w:p>
    <w:p w:rsidR="00AD49CC" w:rsidRDefault="00E214C9" w:rsidP="007D0965">
      <w:pPr>
        <w:pStyle w:val="Heading1"/>
        <w:spacing w:line="360" w:lineRule="auto"/>
      </w:pPr>
      <w:bookmarkStart w:id="6" w:name="_Toc450577193"/>
      <w:r w:rsidRPr="00AA3D0F">
        <w:t>Measurement</w:t>
      </w:r>
      <w:r w:rsidR="00AD49CC" w:rsidRPr="00AA3D0F">
        <w:t xml:space="preserve"> </w:t>
      </w:r>
      <w:r>
        <w:t xml:space="preserve">problem </w:t>
      </w:r>
      <w:r w:rsidR="00AD49CC" w:rsidRPr="00AA3D0F">
        <w:t>in the context of present AASB / IASB standards</w:t>
      </w:r>
      <w:bookmarkEnd w:id="6"/>
      <w:r w:rsidR="00AD49CC" w:rsidRPr="00AA3D0F">
        <w:t xml:space="preserve"> </w:t>
      </w:r>
    </w:p>
    <w:p w:rsidR="000D653E" w:rsidRDefault="000D653E" w:rsidP="007D0965">
      <w:pPr>
        <w:pStyle w:val="Body"/>
        <w:spacing w:line="360" w:lineRule="auto"/>
        <w:ind w:left="720"/>
        <w:contextualSpacing/>
        <w:jc w:val="both"/>
        <w:rPr>
          <w:rFonts w:ascii="Times New Roman" w:hAnsi="Times New Roman" w:cs="Times New Roman"/>
          <w:bCs/>
          <w:iCs/>
          <w:sz w:val="24"/>
          <w:szCs w:val="24"/>
        </w:rPr>
      </w:pPr>
    </w:p>
    <w:p w:rsidR="00B46391" w:rsidRDefault="00BB62EE" w:rsidP="007D0965">
      <w:pPr>
        <w:pStyle w:val="Body"/>
        <w:spacing w:line="36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The company records assets in books of accounts </w:t>
      </w:r>
      <w:r w:rsidR="00B46391">
        <w:rPr>
          <w:rFonts w:ascii="Times New Roman" w:hAnsi="Times New Roman" w:cs="Times New Roman"/>
          <w:bCs/>
          <w:iCs/>
          <w:sz w:val="24"/>
          <w:szCs w:val="24"/>
        </w:rPr>
        <w:t xml:space="preserve">at cost of acquisition. </w:t>
      </w:r>
      <w:r w:rsidR="00320C5A">
        <w:rPr>
          <w:rFonts w:ascii="Times New Roman" w:hAnsi="Times New Roman" w:cs="Times New Roman"/>
          <w:bCs/>
          <w:iCs/>
          <w:sz w:val="24"/>
          <w:szCs w:val="24"/>
        </w:rPr>
        <w:t xml:space="preserve">The </w:t>
      </w:r>
      <w:r w:rsidR="002D2433">
        <w:rPr>
          <w:rFonts w:ascii="Times New Roman" w:hAnsi="Times New Roman" w:cs="Times New Roman"/>
          <w:bCs/>
          <w:iCs/>
          <w:sz w:val="24"/>
          <w:szCs w:val="24"/>
        </w:rPr>
        <w:t>recorded</w:t>
      </w:r>
      <w:r w:rsidR="00454936">
        <w:rPr>
          <w:rFonts w:ascii="Times New Roman" w:hAnsi="Times New Roman" w:cs="Times New Roman"/>
          <w:bCs/>
          <w:iCs/>
          <w:sz w:val="24"/>
          <w:szCs w:val="24"/>
        </w:rPr>
        <w:t xml:space="preserve"> purchase </w:t>
      </w:r>
      <w:r w:rsidR="002D2433">
        <w:rPr>
          <w:rFonts w:ascii="Times New Roman" w:hAnsi="Times New Roman" w:cs="Times New Roman"/>
          <w:bCs/>
          <w:iCs/>
          <w:sz w:val="24"/>
          <w:szCs w:val="24"/>
        </w:rPr>
        <w:t>price</w:t>
      </w:r>
      <w:r w:rsidR="00454936">
        <w:rPr>
          <w:rFonts w:ascii="Times New Roman" w:hAnsi="Times New Roman" w:cs="Times New Roman"/>
          <w:bCs/>
          <w:iCs/>
          <w:sz w:val="24"/>
          <w:szCs w:val="24"/>
        </w:rPr>
        <w:t xml:space="preserve"> of </w:t>
      </w:r>
      <w:r w:rsidR="002D2433">
        <w:rPr>
          <w:rFonts w:ascii="Times New Roman" w:hAnsi="Times New Roman" w:cs="Times New Roman"/>
          <w:bCs/>
          <w:iCs/>
          <w:sz w:val="24"/>
          <w:szCs w:val="24"/>
        </w:rPr>
        <w:t>assets</w:t>
      </w:r>
      <w:r w:rsidR="00454936">
        <w:rPr>
          <w:rFonts w:ascii="Times New Roman" w:hAnsi="Times New Roman" w:cs="Times New Roman"/>
          <w:bCs/>
          <w:iCs/>
          <w:sz w:val="24"/>
          <w:szCs w:val="24"/>
        </w:rPr>
        <w:t xml:space="preserve"> becomes </w:t>
      </w:r>
      <w:r w:rsidR="006C0A0A">
        <w:rPr>
          <w:rFonts w:ascii="Times New Roman" w:hAnsi="Times New Roman" w:cs="Times New Roman"/>
          <w:bCs/>
          <w:iCs/>
          <w:sz w:val="24"/>
          <w:szCs w:val="24"/>
        </w:rPr>
        <w:t xml:space="preserve">historical in nature. </w:t>
      </w:r>
      <w:r w:rsidR="00A0256C">
        <w:rPr>
          <w:rFonts w:ascii="Times New Roman" w:hAnsi="Times New Roman" w:cs="Times New Roman"/>
          <w:bCs/>
          <w:iCs/>
          <w:sz w:val="24"/>
          <w:szCs w:val="24"/>
        </w:rPr>
        <w:t xml:space="preserve">However, </w:t>
      </w:r>
      <w:r w:rsidR="00E60404">
        <w:rPr>
          <w:rFonts w:ascii="Times New Roman" w:hAnsi="Times New Roman" w:cs="Times New Roman"/>
          <w:bCs/>
          <w:iCs/>
          <w:sz w:val="24"/>
          <w:szCs w:val="24"/>
        </w:rPr>
        <w:t>assets</w:t>
      </w:r>
      <w:r w:rsidR="00A0256C">
        <w:rPr>
          <w:rFonts w:ascii="Times New Roman" w:hAnsi="Times New Roman" w:cs="Times New Roman"/>
          <w:bCs/>
          <w:iCs/>
          <w:sz w:val="24"/>
          <w:szCs w:val="24"/>
        </w:rPr>
        <w:t xml:space="preserve"> are used </w:t>
      </w:r>
      <w:r w:rsidR="00E60404">
        <w:rPr>
          <w:rFonts w:ascii="Times New Roman" w:hAnsi="Times New Roman" w:cs="Times New Roman"/>
          <w:bCs/>
          <w:iCs/>
          <w:sz w:val="24"/>
          <w:szCs w:val="24"/>
        </w:rPr>
        <w:t xml:space="preserve">by the </w:t>
      </w:r>
      <w:r w:rsidR="00A54016">
        <w:rPr>
          <w:rFonts w:ascii="Times New Roman" w:hAnsi="Times New Roman" w:cs="Times New Roman"/>
          <w:bCs/>
          <w:iCs/>
          <w:sz w:val="24"/>
          <w:szCs w:val="24"/>
        </w:rPr>
        <w:t>company</w:t>
      </w:r>
      <w:r w:rsidR="00E60404">
        <w:rPr>
          <w:rFonts w:ascii="Times New Roman" w:hAnsi="Times New Roman" w:cs="Times New Roman"/>
          <w:bCs/>
          <w:iCs/>
          <w:sz w:val="24"/>
          <w:szCs w:val="24"/>
        </w:rPr>
        <w:t xml:space="preserve"> </w:t>
      </w:r>
      <w:r w:rsidR="002D02B3">
        <w:rPr>
          <w:rFonts w:ascii="Times New Roman" w:hAnsi="Times New Roman" w:cs="Times New Roman"/>
          <w:bCs/>
          <w:iCs/>
          <w:sz w:val="24"/>
          <w:szCs w:val="24"/>
        </w:rPr>
        <w:t>for production purposes. The use of assets results in extraction of iron ore from mines and sites</w:t>
      </w:r>
      <w:r w:rsidR="00340DEB">
        <w:rPr>
          <w:rFonts w:ascii="Times New Roman" w:hAnsi="Times New Roman" w:cs="Times New Roman"/>
          <w:bCs/>
          <w:iCs/>
          <w:sz w:val="24"/>
          <w:szCs w:val="24"/>
        </w:rPr>
        <w:t>.</w:t>
      </w:r>
      <w:r w:rsidR="002D02B3">
        <w:rPr>
          <w:rFonts w:ascii="Times New Roman" w:hAnsi="Times New Roman" w:cs="Times New Roman"/>
          <w:bCs/>
          <w:iCs/>
          <w:sz w:val="24"/>
          <w:szCs w:val="24"/>
        </w:rPr>
        <w:t xml:space="preserve"> </w:t>
      </w:r>
      <w:r w:rsidR="00340DEB">
        <w:rPr>
          <w:rFonts w:ascii="Times New Roman" w:hAnsi="Times New Roman" w:cs="Times New Roman"/>
          <w:bCs/>
          <w:iCs/>
          <w:sz w:val="24"/>
          <w:szCs w:val="24"/>
        </w:rPr>
        <w:t>Thus,</w:t>
      </w:r>
      <w:r w:rsidR="002D02B3">
        <w:rPr>
          <w:rFonts w:ascii="Times New Roman" w:hAnsi="Times New Roman" w:cs="Times New Roman"/>
          <w:bCs/>
          <w:iCs/>
          <w:sz w:val="24"/>
          <w:szCs w:val="24"/>
        </w:rPr>
        <w:t xml:space="preserve"> </w:t>
      </w:r>
      <w:r w:rsidR="00F4799E">
        <w:rPr>
          <w:rFonts w:ascii="Times New Roman" w:hAnsi="Times New Roman" w:cs="Times New Roman"/>
          <w:bCs/>
          <w:iCs/>
          <w:sz w:val="24"/>
          <w:szCs w:val="24"/>
        </w:rPr>
        <w:t xml:space="preserve">future </w:t>
      </w:r>
      <w:r w:rsidR="00B16C96">
        <w:rPr>
          <w:rFonts w:ascii="Times New Roman" w:hAnsi="Times New Roman" w:cs="Times New Roman"/>
          <w:bCs/>
          <w:iCs/>
          <w:sz w:val="24"/>
          <w:szCs w:val="24"/>
        </w:rPr>
        <w:t xml:space="preserve">productivity </w:t>
      </w:r>
      <w:r w:rsidR="008D6667">
        <w:rPr>
          <w:rFonts w:ascii="Times New Roman" w:hAnsi="Times New Roman" w:cs="Times New Roman"/>
          <w:bCs/>
          <w:iCs/>
          <w:sz w:val="24"/>
          <w:szCs w:val="24"/>
        </w:rPr>
        <w:t xml:space="preserve">of assets decline due to </w:t>
      </w:r>
      <w:r w:rsidR="004B3414">
        <w:rPr>
          <w:rFonts w:ascii="Times New Roman" w:hAnsi="Times New Roman" w:cs="Times New Roman"/>
          <w:bCs/>
          <w:iCs/>
          <w:sz w:val="24"/>
          <w:szCs w:val="24"/>
        </w:rPr>
        <w:t>constant</w:t>
      </w:r>
      <w:r w:rsidR="008D6667">
        <w:rPr>
          <w:rFonts w:ascii="Times New Roman" w:hAnsi="Times New Roman" w:cs="Times New Roman"/>
          <w:bCs/>
          <w:iCs/>
          <w:sz w:val="24"/>
          <w:szCs w:val="24"/>
        </w:rPr>
        <w:t xml:space="preserve"> use. </w:t>
      </w:r>
      <w:r w:rsidR="009C77FD">
        <w:rPr>
          <w:rFonts w:ascii="Times New Roman" w:hAnsi="Times New Roman" w:cs="Times New Roman"/>
          <w:bCs/>
          <w:iCs/>
          <w:sz w:val="24"/>
          <w:szCs w:val="24"/>
        </w:rPr>
        <w:t xml:space="preserve">However, the </w:t>
      </w:r>
      <w:r w:rsidR="00C55663">
        <w:rPr>
          <w:rFonts w:ascii="Times New Roman" w:hAnsi="Times New Roman" w:cs="Times New Roman"/>
          <w:bCs/>
          <w:iCs/>
          <w:sz w:val="24"/>
          <w:szCs w:val="24"/>
        </w:rPr>
        <w:t>uses of mines for production are</w:t>
      </w:r>
      <w:r w:rsidR="00CA0696">
        <w:rPr>
          <w:rFonts w:ascii="Times New Roman" w:hAnsi="Times New Roman" w:cs="Times New Roman"/>
          <w:bCs/>
          <w:iCs/>
          <w:sz w:val="24"/>
          <w:szCs w:val="24"/>
        </w:rPr>
        <w:t xml:space="preserve"> not on an equitable basis. </w:t>
      </w:r>
      <w:r w:rsidR="000C6732">
        <w:rPr>
          <w:rFonts w:ascii="Times New Roman" w:hAnsi="Times New Roman" w:cs="Times New Roman"/>
          <w:bCs/>
          <w:iCs/>
          <w:sz w:val="24"/>
          <w:szCs w:val="24"/>
        </w:rPr>
        <w:t xml:space="preserve">Therefore, </w:t>
      </w:r>
      <w:r w:rsidR="0062669D">
        <w:rPr>
          <w:rFonts w:ascii="Times New Roman" w:hAnsi="Times New Roman" w:cs="Times New Roman"/>
          <w:bCs/>
          <w:iCs/>
          <w:sz w:val="24"/>
          <w:szCs w:val="24"/>
        </w:rPr>
        <w:t>estimates</w:t>
      </w:r>
      <w:r w:rsidR="000C6732">
        <w:rPr>
          <w:rFonts w:ascii="Times New Roman" w:hAnsi="Times New Roman" w:cs="Times New Roman"/>
          <w:bCs/>
          <w:iCs/>
          <w:sz w:val="24"/>
          <w:szCs w:val="24"/>
        </w:rPr>
        <w:t xml:space="preserve"> play a</w:t>
      </w:r>
      <w:r w:rsidR="00236FAE">
        <w:rPr>
          <w:rFonts w:ascii="Times New Roman" w:hAnsi="Times New Roman" w:cs="Times New Roman"/>
          <w:bCs/>
          <w:iCs/>
          <w:sz w:val="24"/>
          <w:szCs w:val="24"/>
        </w:rPr>
        <w:t xml:space="preserve">n important </w:t>
      </w:r>
      <w:r w:rsidR="000C6732">
        <w:rPr>
          <w:rFonts w:ascii="Times New Roman" w:hAnsi="Times New Roman" w:cs="Times New Roman"/>
          <w:bCs/>
          <w:iCs/>
          <w:sz w:val="24"/>
          <w:szCs w:val="24"/>
        </w:rPr>
        <w:t xml:space="preserve">role </w:t>
      </w:r>
      <w:r w:rsidR="00AD234A">
        <w:rPr>
          <w:rFonts w:ascii="Times New Roman" w:hAnsi="Times New Roman" w:cs="Times New Roman"/>
          <w:bCs/>
          <w:iCs/>
          <w:sz w:val="24"/>
          <w:szCs w:val="24"/>
        </w:rPr>
        <w:t xml:space="preserve">in </w:t>
      </w:r>
      <w:r w:rsidR="00E65C0E">
        <w:rPr>
          <w:rFonts w:ascii="Times New Roman" w:hAnsi="Times New Roman" w:cs="Times New Roman"/>
          <w:bCs/>
          <w:iCs/>
          <w:sz w:val="24"/>
          <w:szCs w:val="24"/>
        </w:rPr>
        <w:t>measurement</w:t>
      </w:r>
      <w:r w:rsidR="00AD234A">
        <w:rPr>
          <w:rFonts w:ascii="Times New Roman" w:hAnsi="Times New Roman" w:cs="Times New Roman"/>
          <w:bCs/>
          <w:iCs/>
          <w:sz w:val="24"/>
          <w:szCs w:val="24"/>
        </w:rPr>
        <w:t xml:space="preserve"> </w:t>
      </w:r>
      <w:r w:rsidR="00480F88">
        <w:rPr>
          <w:rFonts w:ascii="Times New Roman" w:hAnsi="Times New Roman" w:cs="Times New Roman"/>
          <w:bCs/>
          <w:iCs/>
          <w:sz w:val="24"/>
          <w:szCs w:val="24"/>
        </w:rPr>
        <w:t>of useful life of asset and calculation of depreciation on asset</w:t>
      </w:r>
      <w:r w:rsidR="00F04162">
        <w:rPr>
          <w:rFonts w:ascii="Times New Roman" w:hAnsi="Times New Roman" w:cs="Times New Roman"/>
          <w:bCs/>
          <w:iCs/>
          <w:sz w:val="24"/>
          <w:szCs w:val="24"/>
        </w:rPr>
        <w:t>s</w:t>
      </w:r>
      <w:r w:rsidR="00480F88">
        <w:rPr>
          <w:rFonts w:ascii="Times New Roman" w:hAnsi="Times New Roman" w:cs="Times New Roman"/>
          <w:bCs/>
          <w:iCs/>
          <w:sz w:val="24"/>
          <w:szCs w:val="24"/>
        </w:rPr>
        <w:t xml:space="preserve">. </w:t>
      </w:r>
      <w:r w:rsidR="00C11A48">
        <w:rPr>
          <w:rFonts w:ascii="Times New Roman" w:hAnsi="Times New Roman" w:cs="Times New Roman"/>
          <w:bCs/>
          <w:iCs/>
          <w:sz w:val="24"/>
          <w:szCs w:val="24"/>
        </w:rPr>
        <w:t xml:space="preserve">In the present context of AASB/ IASB </w:t>
      </w:r>
      <w:r w:rsidR="00CA3062">
        <w:rPr>
          <w:rFonts w:ascii="Times New Roman" w:hAnsi="Times New Roman" w:cs="Times New Roman"/>
          <w:bCs/>
          <w:iCs/>
          <w:sz w:val="24"/>
          <w:szCs w:val="24"/>
        </w:rPr>
        <w:t>standards</w:t>
      </w:r>
      <w:r w:rsidR="00C11A48">
        <w:rPr>
          <w:rFonts w:ascii="Times New Roman" w:hAnsi="Times New Roman" w:cs="Times New Roman"/>
          <w:bCs/>
          <w:iCs/>
          <w:sz w:val="24"/>
          <w:szCs w:val="24"/>
        </w:rPr>
        <w:t xml:space="preserve">, </w:t>
      </w:r>
      <w:r w:rsidR="002F5686">
        <w:rPr>
          <w:rFonts w:ascii="Times New Roman" w:hAnsi="Times New Roman" w:cs="Times New Roman"/>
          <w:bCs/>
          <w:iCs/>
          <w:sz w:val="24"/>
          <w:szCs w:val="24"/>
        </w:rPr>
        <w:t>asset valuation</w:t>
      </w:r>
      <w:r w:rsidR="004864DF">
        <w:rPr>
          <w:rFonts w:ascii="Times New Roman" w:hAnsi="Times New Roman" w:cs="Times New Roman"/>
          <w:bCs/>
          <w:iCs/>
          <w:sz w:val="24"/>
          <w:szCs w:val="24"/>
        </w:rPr>
        <w:t xml:space="preserve"> is an important issue </w:t>
      </w:r>
      <w:r w:rsidR="00526131">
        <w:rPr>
          <w:rFonts w:ascii="Times New Roman" w:hAnsi="Times New Roman" w:cs="Times New Roman"/>
          <w:bCs/>
          <w:iCs/>
          <w:sz w:val="24"/>
          <w:szCs w:val="24"/>
        </w:rPr>
        <w:t>involved</w:t>
      </w:r>
      <w:r w:rsidR="004864DF">
        <w:rPr>
          <w:rFonts w:ascii="Times New Roman" w:hAnsi="Times New Roman" w:cs="Times New Roman"/>
          <w:bCs/>
          <w:iCs/>
          <w:sz w:val="24"/>
          <w:szCs w:val="24"/>
        </w:rPr>
        <w:t xml:space="preserve"> in accounting </w:t>
      </w:r>
      <w:r w:rsidR="00526131">
        <w:rPr>
          <w:rFonts w:ascii="Times New Roman" w:hAnsi="Times New Roman" w:cs="Times New Roman"/>
          <w:bCs/>
          <w:iCs/>
          <w:sz w:val="24"/>
          <w:szCs w:val="24"/>
        </w:rPr>
        <w:t xml:space="preserve">treatment of assets. </w:t>
      </w:r>
      <w:r w:rsidR="00D936CC">
        <w:rPr>
          <w:rFonts w:ascii="Times New Roman" w:hAnsi="Times New Roman" w:cs="Times New Roman"/>
          <w:bCs/>
          <w:iCs/>
          <w:sz w:val="24"/>
          <w:szCs w:val="24"/>
        </w:rPr>
        <w:t xml:space="preserve">Since most of the assets </w:t>
      </w:r>
      <w:r w:rsidR="00A4171A">
        <w:rPr>
          <w:rFonts w:ascii="Times New Roman" w:hAnsi="Times New Roman" w:cs="Times New Roman"/>
          <w:bCs/>
          <w:iCs/>
          <w:sz w:val="24"/>
          <w:szCs w:val="24"/>
        </w:rPr>
        <w:t xml:space="preserve">require use of </w:t>
      </w:r>
      <w:r w:rsidR="00AF1C89">
        <w:rPr>
          <w:rFonts w:ascii="Times New Roman" w:hAnsi="Times New Roman" w:cs="Times New Roman"/>
          <w:bCs/>
          <w:iCs/>
          <w:sz w:val="24"/>
          <w:szCs w:val="24"/>
        </w:rPr>
        <w:t xml:space="preserve">estimates, management has to </w:t>
      </w:r>
      <w:r w:rsidR="0062324D">
        <w:rPr>
          <w:rFonts w:ascii="Times New Roman" w:hAnsi="Times New Roman" w:cs="Times New Roman"/>
          <w:bCs/>
          <w:iCs/>
          <w:sz w:val="24"/>
          <w:szCs w:val="24"/>
        </w:rPr>
        <w:t xml:space="preserve">critically </w:t>
      </w:r>
      <w:r w:rsidR="00FC1674">
        <w:rPr>
          <w:rFonts w:ascii="Times New Roman" w:hAnsi="Times New Roman" w:cs="Times New Roman"/>
          <w:bCs/>
          <w:iCs/>
          <w:sz w:val="24"/>
          <w:szCs w:val="24"/>
        </w:rPr>
        <w:t xml:space="preserve">examine both internal and external factors for </w:t>
      </w:r>
      <w:r w:rsidR="000D5D12">
        <w:rPr>
          <w:rFonts w:ascii="Times New Roman" w:hAnsi="Times New Roman" w:cs="Times New Roman"/>
          <w:bCs/>
          <w:iCs/>
          <w:sz w:val="24"/>
          <w:szCs w:val="24"/>
        </w:rPr>
        <w:t>asset valuation</w:t>
      </w:r>
      <w:r w:rsidR="00396862">
        <w:rPr>
          <w:rFonts w:ascii="Times New Roman" w:hAnsi="Times New Roman" w:cs="Times New Roman"/>
          <w:bCs/>
          <w:iCs/>
          <w:sz w:val="24"/>
          <w:szCs w:val="24"/>
        </w:rPr>
        <w:t xml:space="preserve"> (</w:t>
      </w:r>
      <w:r w:rsidR="00396862">
        <w:rPr>
          <w:rFonts w:ascii="Times New Roman" w:hAnsi="Times New Roman" w:cs="Times New Roman"/>
          <w:sz w:val="24"/>
          <w:szCs w:val="24"/>
        </w:rPr>
        <w:t xml:space="preserve">Salamudin, N., Bakar, R., Ibrahim, M., Hassan, F., </w:t>
      </w:r>
      <w:r w:rsidR="00396862" w:rsidRPr="003A15BC">
        <w:rPr>
          <w:rFonts w:ascii="Times New Roman" w:hAnsi="Times New Roman" w:cs="Times New Roman"/>
          <w:sz w:val="24"/>
          <w:szCs w:val="24"/>
        </w:rPr>
        <w:t>2010</w:t>
      </w:r>
      <w:r w:rsidR="00396862">
        <w:rPr>
          <w:rFonts w:ascii="Times New Roman" w:hAnsi="Times New Roman" w:cs="Times New Roman"/>
          <w:sz w:val="24"/>
          <w:szCs w:val="24"/>
        </w:rPr>
        <w:t>)</w:t>
      </w:r>
      <w:r w:rsidR="000D5D12">
        <w:rPr>
          <w:rFonts w:ascii="Times New Roman" w:hAnsi="Times New Roman" w:cs="Times New Roman"/>
          <w:bCs/>
          <w:iCs/>
          <w:sz w:val="24"/>
          <w:szCs w:val="24"/>
        </w:rPr>
        <w:t xml:space="preserve">. </w:t>
      </w:r>
      <w:r w:rsidR="00DE37EA">
        <w:rPr>
          <w:rFonts w:ascii="Times New Roman" w:hAnsi="Times New Roman" w:cs="Times New Roman"/>
          <w:bCs/>
          <w:iCs/>
          <w:sz w:val="24"/>
          <w:szCs w:val="24"/>
        </w:rPr>
        <w:t xml:space="preserve">In addition, </w:t>
      </w:r>
      <w:r w:rsidR="00063340">
        <w:rPr>
          <w:rFonts w:ascii="Times New Roman" w:hAnsi="Times New Roman" w:cs="Times New Roman"/>
          <w:bCs/>
          <w:iCs/>
          <w:sz w:val="24"/>
          <w:szCs w:val="24"/>
        </w:rPr>
        <w:t xml:space="preserve">useful life of an asset </w:t>
      </w:r>
      <w:r w:rsidR="00231BDA">
        <w:rPr>
          <w:rFonts w:ascii="Times New Roman" w:hAnsi="Times New Roman" w:cs="Times New Roman"/>
          <w:bCs/>
          <w:iCs/>
          <w:sz w:val="24"/>
          <w:szCs w:val="24"/>
        </w:rPr>
        <w:t xml:space="preserve">is an important assessment which needs to be done with extreme care and caution. </w:t>
      </w:r>
      <w:r w:rsidR="00111717">
        <w:rPr>
          <w:rFonts w:ascii="Times New Roman" w:hAnsi="Times New Roman" w:cs="Times New Roman"/>
          <w:bCs/>
          <w:iCs/>
          <w:sz w:val="24"/>
          <w:szCs w:val="24"/>
        </w:rPr>
        <w:t>The u</w:t>
      </w:r>
      <w:r w:rsidR="00F3186D">
        <w:rPr>
          <w:rFonts w:ascii="Times New Roman" w:hAnsi="Times New Roman" w:cs="Times New Roman"/>
          <w:bCs/>
          <w:iCs/>
          <w:sz w:val="24"/>
          <w:szCs w:val="24"/>
        </w:rPr>
        <w:t xml:space="preserve">seful life of an asset </w:t>
      </w:r>
      <w:r w:rsidR="00111717">
        <w:rPr>
          <w:rFonts w:ascii="Times New Roman" w:hAnsi="Times New Roman" w:cs="Times New Roman"/>
          <w:bCs/>
          <w:iCs/>
          <w:sz w:val="24"/>
          <w:szCs w:val="24"/>
        </w:rPr>
        <w:t xml:space="preserve">gives </w:t>
      </w:r>
      <w:r w:rsidR="00450CA0">
        <w:rPr>
          <w:rFonts w:ascii="Times New Roman" w:hAnsi="Times New Roman" w:cs="Times New Roman"/>
          <w:bCs/>
          <w:iCs/>
          <w:sz w:val="24"/>
          <w:szCs w:val="24"/>
        </w:rPr>
        <w:t xml:space="preserve">company’s </w:t>
      </w:r>
      <w:r w:rsidR="000D46DF">
        <w:rPr>
          <w:rFonts w:ascii="Times New Roman" w:hAnsi="Times New Roman" w:cs="Times New Roman"/>
          <w:bCs/>
          <w:iCs/>
          <w:sz w:val="24"/>
          <w:szCs w:val="24"/>
        </w:rPr>
        <w:t>management</w:t>
      </w:r>
      <w:r w:rsidR="00450CA0">
        <w:rPr>
          <w:rFonts w:ascii="Times New Roman" w:hAnsi="Times New Roman" w:cs="Times New Roman"/>
          <w:bCs/>
          <w:iCs/>
          <w:sz w:val="24"/>
          <w:szCs w:val="24"/>
        </w:rPr>
        <w:t xml:space="preserve"> a fair </w:t>
      </w:r>
      <w:r w:rsidR="000D46DF">
        <w:rPr>
          <w:rFonts w:ascii="Times New Roman" w:hAnsi="Times New Roman" w:cs="Times New Roman"/>
          <w:bCs/>
          <w:iCs/>
          <w:sz w:val="24"/>
          <w:szCs w:val="24"/>
        </w:rPr>
        <w:t xml:space="preserve">idea about </w:t>
      </w:r>
      <w:r w:rsidR="00114E7C">
        <w:rPr>
          <w:rFonts w:ascii="Times New Roman" w:hAnsi="Times New Roman" w:cs="Times New Roman"/>
          <w:bCs/>
          <w:iCs/>
          <w:sz w:val="24"/>
          <w:szCs w:val="24"/>
        </w:rPr>
        <w:t>the amount of depreciation to</w:t>
      </w:r>
      <w:r w:rsidR="0027594E">
        <w:rPr>
          <w:rFonts w:ascii="Times New Roman" w:hAnsi="Times New Roman" w:cs="Times New Roman"/>
          <w:bCs/>
          <w:iCs/>
          <w:sz w:val="24"/>
          <w:szCs w:val="24"/>
        </w:rPr>
        <w:t xml:space="preserve"> be</w:t>
      </w:r>
      <w:r w:rsidR="00114E7C">
        <w:rPr>
          <w:rFonts w:ascii="Times New Roman" w:hAnsi="Times New Roman" w:cs="Times New Roman"/>
          <w:bCs/>
          <w:iCs/>
          <w:sz w:val="24"/>
          <w:szCs w:val="24"/>
        </w:rPr>
        <w:t xml:space="preserve"> charged on the asset. </w:t>
      </w:r>
      <w:r w:rsidR="00AC39E9">
        <w:rPr>
          <w:rFonts w:ascii="Times New Roman" w:hAnsi="Times New Roman" w:cs="Times New Roman"/>
          <w:bCs/>
          <w:iCs/>
          <w:sz w:val="24"/>
          <w:szCs w:val="24"/>
        </w:rPr>
        <w:t xml:space="preserve">Rio Tinto </w:t>
      </w:r>
      <w:r w:rsidR="0030172A">
        <w:rPr>
          <w:rFonts w:ascii="Times New Roman" w:hAnsi="Times New Roman" w:cs="Times New Roman"/>
          <w:bCs/>
          <w:iCs/>
          <w:sz w:val="24"/>
          <w:szCs w:val="24"/>
        </w:rPr>
        <w:t>Limited</w:t>
      </w:r>
      <w:r w:rsidR="00EC02DA">
        <w:rPr>
          <w:rFonts w:ascii="Times New Roman" w:hAnsi="Times New Roman" w:cs="Times New Roman"/>
          <w:bCs/>
          <w:iCs/>
          <w:sz w:val="24"/>
          <w:szCs w:val="24"/>
        </w:rPr>
        <w:t>,</w:t>
      </w:r>
      <w:r w:rsidR="00AC39E9">
        <w:rPr>
          <w:rFonts w:ascii="Times New Roman" w:hAnsi="Times New Roman" w:cs="Times New Roman"/>
          <w:bCs/>
          <w:iCs/>
          <w:sz w:val="24"/>
          <w:szCs w:val="24"/>
        </w:rPr>
        <w:t xml:space="preserve"> in </w:t>
      </w:r>
      <w:r w:rsidR="0030172A">
        <w:rPr>
          <w:rFonts w:ascii="Times New Roman" w:hAnsi="Times New Roman" w:cs="Times New Roman"/>
          <w:bCs/>
          <w:iCs/>
          <w:sz w:val="24"/>
          <w:szCs w:val="24"/>
        </w:rPr>
        <w:t>turn</w:t>
      </w:r>
      <w:r w:rsidR="00AC39E9">
        <w:rPr>
          <w:rFonts w:ascii="Times New Roman" w:hAnsi="Times New Roman" w:cs="Times New Roman"/>
          <w:bCs/>
          <w:iCs/>
          <w:sz w:val="24"/>
          <w:szCs w:val="24"/>
        </w:rPr>
        <w:t xml:space="preserve"> charges depreciation on different </w:t>
      </w:r>
      <w:r w:rsidR="0030172A">
        <w:rPr>
          <w:rFonts w:ascii="Times New Roman" w:hAnsi="Times New Roman" w:cs="Times New Roman"/>
          <w:bCs/>
          <w:iCs/>
          <w:sz w:val="24"/>
          <w:szCs w:val="24"/>
        </w:rPr>
        <w:t xml:space="preserve">assets </w:t>
      </w:r>
      <w:r w:rsidR="00AC39E9">
        <w:rPr>
          <w:rFonts w:ascii="Times New Roman" w:hAnsi="Times New Roman" w:cs="Times New Roman"/>
          <w:bCs/>
          <w:iCs/>
          <w:sz w:val="24"/>
          <w:szCs w:val="24"/>
        </w:rPr>
        <w:t xml:space="preserve">accordingly. </w:t>
      </w:r>
      <w:r w:rsidR="00655A46">
        <w:rPr>
          <w:rFonts w:ascii="Times New Roman" w:hAnsi="Times New Roman" w:cs="Times New Roman"/>
          <w:bCs/>
          <w:iCs/>
          <w:sz w:val="24"/>
          <w:szCs w:val="24"/>
        </w:rPr>
        <w:t>However, the main problem is measurement problem associated with asset pricing</w:t>
      </w:r>
      <w:r w:rsidR="00396862">
        <w:rPr>
          <w:rFonts w:ascii="Times New Roman" w:hAnsi="Times New Roman" w:cs="Times New Roman"/>
          <w:bCs/>
          <w:iCs/>
          <w:sz w:val="24"/>
          <w:szCs w:val="24"/>
        </w:rPr>
        <w:t xml:space="preserve"> (</w:t>
      </w:r>
      <w:r w:rsidR="00396862">
        <w:rPr>
          <w:rFonts w:ascii="Times New Roman" w:hAnsi="Times New Roman" w:cs="Times New Roman"/>
          <w:sz w:val="24"/>
          <w:szCs w:val="24"/>
        </w:rPr>
        <w:t xml:space="preserve">Schanaidt, T., Sebastian, </w:t>
      </w:r>
      <w:r w:rsidR="00396862">
        <w:rPr>
          <w:rFonts w:ascii="Times New Roman" w:hAnsi="Times New Roman" w:cs="Times New Roman"/>
          <w:sz w:val="24"/>
          <w:szCs w:val="24"/>
        </w:rPr>
        <w:lastRenderedPageBreak/>
        <w:t xml:space="preserve">S., </w:t>
      </w:r>
      <w:r w:rsidR="00396862" w:rsidRPr="003A15BC">
        <w:rPr>
          <w:rFonts w:ascii="Times New Roman" w:hAnsi="Times New Roman" w:cs="Times New Roman"/>
          <w:sz w:val="24"/>
          <w:szCs w:val="24"/>
        </w:rPr>
        <w:t>2012)</w:t>
      </w:r>
      <w:r w:rsidR="00655A46">
        <w:rPr>
          <w:rFonts w:ascii="Times New Roman" w:hAnsi="Times New Roman" w:cs="Times New Roman"/>
          <w:bCs/>
          <w:iCs/>
          <w:sz w:val="24"/>
          <w:szCs w:val="24"/>
        </w:rPr>
        <w:t xml:space="preserve">. </w:t>
      </w:r>
      <w:r w:rsidR="00D80AE7">
        <w:rPr>
          <w:rFonts w:ascii="Times New Roman" w:hAnsi="Times New Roman" w:cs="Times New Roman"/>
          <w:bCs/>
          <w:iCs/>
          <w:sz w:val="24"/>
          <w:szCs w:val="24"/>
        </w:rPr>
        <w:t xml:space="preserve">In the present context of </w:t>
      </w:r>
      <w:r w:rsidR="0039106E">
        <w:rPr>
          <w:rFonts w:ascii="Times New Roman" w:hAnsi="Times New Roman" w:cs="Times New Roman"/>
          <w:bCs/>
          <w:iCs/>
          <w:sz w:val="24"/>
          <w:szCs w:val="24"/>
        </w:rPr>
        <w:t xml:space="preserve">AASB/IASB standards, cash generating units </w:t>
      </w:r>
      <w:r w:rsidR="00EC02DA">
        <w:rPr>
          <w:rFonts w:ascii="Times New Roman" w:hAnsi="Times New Roman" w:cs="Times New Roman"/>
          <w:bCs/>
          <w:iCs/>
          <w:sz w:val="24"/>
          <w:szCs w:val="24"/>
        </w:rPr>
        <w:t>discount</w:t>
      </w:r>
      <w:r w:rsidR="00DC32B0">
        <w:rPr>
          <w:rFonts w:ascii="Times New Roman" w:hAnsi="Times New Roman" w:cs="Times New Roman"/>
          <w:bCs/>
          <w:iCs/>
          <w:sz w:val="24"/>
          <w:szCs w:val="24"/>
        </w:rPr>
        <w:t xml:space="preserve"> </w:t>
      </w:r>
      <w:r w:rsidR="00DC32B0" w:rsidRPr="00AA3D0F">
        <w:rPr>
          <w:rFonts w:ascii="Times New Roman" w:hAnsi="Times New Roman" w:cs="Times New Roman"/>
          <w:iCs/>
          <w:sz w:val="24"/>
          <w:szCs w:val="24"/>
        </w:rPr>
        <w:t>the estimated net income stream with an estimated appropriate discount factor</w:t>
      </w:r>
      <w:r w:rsidR="00DC32B0">
        <w:rPr>
          <w:rFonts w:ascii="Times New Roman" w:hAnsi="Times New Roman" w:cs="Times New Roman"/>
          <w:iCs/>
          <w:sz w:val="24"/>
          <w:szCs w:val="24"/>
        </w:rPr>
        <w:t xml:space="preserve"> and </w:t>
      </w:r>
      <w:r w:rsidR="00EC02DA">
        <w:rPr>
          <w:rFonts w:ascii="Times New Roman" w:hAnsi="Times New Roman" w:cs="Times New Roman"/>
          <w:iCs/>
          <w:sz w:val="24"/>
          <w:szCs w:val="24"/>
        </w:rPr>
        <w:t>compare wi</w:t>
      </w:r>
      <w:r w:rsidR="00DC32B0">
        <w:rPr>
          <w:rFonts w:ascii="Times New Roman" w:hAnsi="Times New Roman" w:cs="Times New Roman"/>
          <w:iCs/>
          <w:sz w:val="24"/>
          <w:szCs w:val="24"/>
        </w:rPr>
        <w:t xml:space="preserve">th </w:t>
      </w:r>
      <w:r w:rsidR="00EC02DA">
        <w:rPr>
          <w:rFonts w:ascii="Times New Roman" w:hAnsi="Times New Roman" w:cs="Times New Roman"/>
          <w:iCs/>
          <w:sz w:val="24"/>
          <w:szCs w:val="24"/>
        </w:rPr>
        <w:t xml:space="preserve">the </w:t>
      </w:r>
      <w:r w:rsidR="00DC32B0">
        <w:rPr>
          <w:rFonts w:ascii="Times New Roman" w:hAnsi="Times New Roman" w:cs="Times New Roman"/>
          <w:iCs/>
          <w:sz w:val="24"/>
          <w:szCs w:val="24"/>
        </w:rPr>
        <w:t xml:space="preserve">asset prices of </w:t>
      </w:r>
      <w:r w:rsidR="00C85A4A">
        <w:rPr>
          <w:rFonts w:ascii="Times New Roman" w:hAnsi="Times New Roman" w:cs="Times New Roman"/>
          <w:iCs/>
          <w:sz w:val="24"/>
          <w:szCs w:val="24"/>
        </w:rPr>
        <w:t xml:space="preserve">cash </w:t>
      </w:r>
      <w:r w:rsidR="005736E4">
        <w:rPr>
          <w:rFonts w:ascii="Times New Roman" w:hAnsi="Times New Roman" w:cs="Times New Roman"/>
          <w:iCs/>
          <w:sz w:val="24"/>
          <w:szCs w:val="24"/>
        </w:rPr>
        <w:t>generating</w:t>
      </w:r>
      <w:r w:rsidR="00C85A4A">
        <w:rPr>
          <w:rFonts w:ascii="Times New Roman" w:hAnsi="Times New Roman" w:cs="Times New Roman"/>
          <w:iCs/>
          <w:sz w:val="24"/>
          <w:szCs w:val="24"/>
        </w:rPr>
        <w:t xml:space="preserve"> units. </w:t>
      </w:r>
      <w:r w:rsidR="005736E4">
        <w:rPr>
          <w:rFonts w:ascii="Times New Roman" w:hAnsi="Times New Roman" w:cs="Times New Roman"/>
          <w:iCs/>
          <w:sz w:val="24"/>
          <w:szCs w:val="24"/>
        </w:rPr>
        <w:t xml:space="preserve">Thus, in case of cash generating units, both future net income </w:t>
      </w:r>
      <w:r w:rsidR="008B7D4E">
        <w:rPr>
          <w:rFonts w:ascii="Times New Roman" w:hAnsi="Times New Roman" w:cs="Times New Roman"/>
          <w:iCs/>
          <w:sz w:val="24"/>
          <w:szCs w:val="24"/>
        </w:rPr>
        <w:t xml:space="preserve">stream and discount factor are estimates. </w:t>
      </w:r>
      <w:r w:rsidR="00166DC6">
        <w:rPr>
          <w:rFonts w:ascii="Times New Roman" w:hAnsi="Times New Roman" w:cs="Times New Roman"/>
          <w:iCs/>
          <w:sz w:val="24"/>
          <w:szCs w:val="24"/>
        </w:rPr>
        <w:t xml:space="preserve">Therefore, asset selling prices are </w:t>
      </w:r>
      <w:r w:rsidR="00995292">
        <w:rPr>
          <w:rFonts w:ascii="Times New Roman" w:hAnsi="Times New Roman" w:cs="Times New Roman"/>
          <w:iCs/>
          <w:sz w:val="24"/>
          <w:szCs w:val="24"/>
        </w:rPr>
        <w:t xml:space="preserve">affected by these </w:t>
      </w:r>
      <w:r w:rsidR="00894F59">
        <w:rPr>
          <w:rFonts w:ascii="Times New Roman" w:hAnsi="Times New Roman" w:cs="Times New Roman"/>
          <w:iCs/>
          <w:sz w:val="24"/>
          <w:szCs w:val="24"/>
        </w:rPr>
        <w:t>estimates</w:t>
      </w:r>
      <w:r w:rsidR="00995292">
        <w:rPr>
          <w:rFonts w:ascii="Times New Roman" w:hAnsi="Times New Roman" w:cs="Times New Roman"/>
          <w:iCs/>
          <w:sz w:val="24"/>
          <w:szCs w:val="24"/>
        </w:rPr>
        <w:t xml:space="preserve"> of future </w:t>
      </w:r>
      <w:r w:rsidR="00894F59">
        <w:rPr>
          <w:rFonts w:ascii="Times New Roman" w:hAnsi="Times New Roman" w:cs="Times New Roman"/>
          <w:iCs/>
          <w:sz w:val="24"/>
          <w:szCs w:val="24"/>
        </w:rPr>
        <w:t>cash</w:t>
      </w:r>
      <w:r w:rsidR="00995292">
        <w:rPr>
          <w:rFonts w:ascii="Times New Roman" w:hAnsi="Times New Roman" w:cs="Times New Roman"/>
          <w:iCs/>
          <w:sz w:val="24"/>
          <w:szCs w:val="24"/>
        </w:rPr>
        <w:t xml:space="preserve"> inflow and discount </w:t>
      </w:r>
      <w:r w:rsidR="00894F59">
        <w:rPr>
          <w:rFonts w:ascii="Times New Roman" w:hAnsi="Times New Roman" w:cs="Times New Roman"/>
          <w:iCs/>
          <w:sz w:val="24"/>
          <w:szCs w:val="24"/>
        </w:rPr>
        <w:t>factor</w:t>
      </w:r>
      <w:r w:rsidR="00995292">
        <w:rPr>
          <w:rFonts w:ascii="Times New Roman" w:hAnsi="Times New Roman" w:cs="Times New Roman"/>
          <w:iCs/>
          <w:sz w:val="24"/>
          <w:szCs w:val="24"/>
        </w:rPr>
        <w:t xml:space="preserve">. </w:t>
      </w:r>
    </w:p>
    <w:p w:rsidR="00240A0E" w:rsidRDefault="00240A0E" w:rsidP="007D0965">
      <w:pPr>
        <w:pStyle w:val="Body"/>
        <w:spacing w:line="360" w:lineRule="auto"/>
        <w:contextualSpacing/>
        <w:jc w:val="both"/>
        <w:rPr>
          <w:rFonts w:ascii="Times New Roman" w:hAnsi="Times New Roman" w:cs="Times New Roman"/>
          <w:bCs/>
          <w:iCs/>
          <w:sz w:val="24"/>
          <w:szCs w:val="24"/>
        </w:rPr>
      </w:pPr>
    </w:p>
    <w:p w:rsidR="00B46391" w:rsidRDefault="00B8169A" w:rsidP="007D0965">
      <w:pPr>
        <w:pStyle w:val="Body"/>
        <w:spacing w:line="360" w:lineRule="auto"/>
        <w:contextualSpacing/>
        <w:jc w:val="both"/>
        <w:rPr>
          <w:rFonts w:ascii="Times New Roman" w:hAnsi="Times New Roman" w:cs="Times New Roman"/>
          <w:iCs/>
          <w:sz w:val="24"/>
          <w:szCs w:val="24"/>
        </w:rPr>
      </w:pPr>
      <w:r>
        <w:rPr>
          <w:rFonts w:ascii="Times New Roman" w:hAnsi="Times New Roman" w:cs="Times New Roman"/>
          <w:bCs/>
          <w:iCs/>
          <w:sz w:val="24"/>
          <w:szCs w:val="24"/>
        </w:rPr>
        <w:t xml:space="preserve">The estimates of </w:t>
      </w:r>
      <w:r>
        <w:rPr>
          <w:rFonts w:ascii="Times New Roman" w:hAnsi="Times New Roman" w:cs="Times New Roman"/>
          <w:iCs/>
          <w:sz w:val="24"/>
          <w:szCs w:val="24"/>
        </w:rPr>
        <w:t>future cash inflow and discount factor</w:t>
      </w:r>
      <w:r w:rsidR="00CD2DB1">
        <w:rPr>
          <w:rFonts w:ascii="Times New Roman" w:hAnsi="Times New Roman" w:cs="Times New Roman"/>
          <w:iCs/>
          <w:sz w:val="24"/>
          <w:szCs w:val="24"/>
        </w:rPr>
        <w:t xml:space="preserve"> are primary reasons behind measurement </w:t>
      </w:r>
      <w:r w:rsidR="00E53B5B">
        <w:rPr>
          <w:rFonts w:ascii="Times New Roman" w:hAnsi="Times New Roman" w:cs="Times New Roman"/>
          <w:iCs/>
          <w:sz w:val="24"/>
          <w:szCs w:val="24"/>
        </w:rPr>
        <w:t xml:space="preserve">problems. </w:t>
      </w:r>
      <w:r w:rsidR="004904B4">
        <w:rPr>
          <w:rFonts w:ascii="Times New Roman" w:hAnsi="Times New Roman" w:cs="Times New Roman"/>
          <w:iCs/>
          <w:sz w:val="24"/>
          <w:szCs w:val="24"/>
        </w:rPr>
        <w:t xml:space="preserve">Rio Tinto Limited is engaged in mining and processing </w:t>
      </w:r>
      <w:r w:rsidR="00751CDE">
        <w:rPr>
          <w:rFonts w:ascii="Times New Roman" w:hAnsi="Times New Roman" w:cs="Times New Roman"/>
          <w:iCs/>
          <w:sz w:val="24"/>
          <w:szCs w:val="24"/>
        </w:rPr>
        <w:t xml:space="preserve">of iron ore. </w:t>
      </w:r>
      <w:r w:rsidR="00205002">
        <w:rPr>
          <w:rFonts w:ascii="Times New Roman" w:hAnsi="Times New Roman" w:cs="Times New Roman"/>
          <w:iCs/>
          <w:sz w:val="24"/>
          <w:szCs w:val="24"/>
        </w:rPr>
        <w:t xml:space="preserve">The company operates in a cyclical business and </w:t>
      </w:r>
      <w:r w:rsidR="002D60FE">
        <w:rPr>
          <w:rFonts w:ascii="Times New Roman" w:hAnsi="Times New Roman" w:cs="Times New Roman"/>
          <w:iCs/>
          <w:sz w:val="24"/>
          <w:szCs w:val="24"/>
        </w:rPr>
        <w:t xml:space="preserve">hence </w:t>
      </w:r>
      <w:r w:rsidR="00BF2A90">
        <w:rPr>
          <w:rFonts w:ascii="Times New Roman" w:hAnsi="Times New Roman" w:cs="Times New Roman"/>
          <w:iCs/>
          <w:sz w:val="24"/>
          <w:szCs w:val="24"/>
        </w:rPr>
        <w:t xml:space="preserve">production may differ depending upon market </w:t>
      </w:r>
      <w:r w:rsidR="005B7694">
        <w:rPr>
          <w:rFonts w:ascii="Times New Roman" w:hAnsi="Times New Roman" w:cs="Times New Roman"/>
          <w:iCs/>
          <w:sz w:val="24"/>
          <w:szCs w:val="24"/>
        </w:rPr>
        <w:t xml:space="preserve">conditions. In case, </w:t>
      </w:r>
      <w:r w:rsidR="00ED60C3">
        <w:rPr>
          <w:rFonts w:ascii="Times New Roman" w:hAnsi="Times New Roman" w:cs="Times New Roman"/>
          <w:iCs/>
          <w:sz w:val="24"/>
          <w:szCs w:val="24"/>
        </w:rPr>
        <w:t xml:space="preserve">commodity </w:t>
      </w:r>
      <w:r w:rsidR="00BD2FAB">
        <w:rPr>
          <w:rFonts w:ascii="Times New Roman" w:hAnsi="Times New Roman" w:cs="Times New Roman"/>
          <w:iCs/>
          <w:sz w:val="24"/>
          <w:szCs w:val="24"/>
        </w:rPr>
        <w:t xml:space="preserve">prices have declined </w:t>
      </w:r>
      <w:r w:rsidR="007B79B0">
        <w:rPr>
          <w:rFonts w:ascii="Times New Roman" w:hAnsi="Times New Roman" w:cs="Times New Roman"/>
          <w:iCs/>
          <w:sz w:val="24"/>
          <w:szCs w:val="24"/>
        </w:rPr>
        <w:t>sharply</w:t>
      </w:r>
      <w:r w:rsidR="00BD2FAB">
        <w:rPr>
          <w:rFonts w:ascii="Times New Roman" w:hAnsi="Times New Roman" w:cs="Times New Roman"/>
          <w:iCs/>
          <w:sz w:val="24"/>
          <w:szCs w:val="24"/>
        </w:rPr>
        <w:t xml:space="preserve">, </w:t>
      </w:r>
      <w:r w:rsidR="007B79B0">
        <w:rPr>
          <w:rFonts w:ascii="Times New Roman" w:hAnsi="Times New Roman" w:cs="Times New Roman"/>
          <w:iCs/>
          <w:sz w:val="24"/>
          <w:szCs w:val="24"/>
        </w:rPr>
        <w:t xml:space="preserve">Rio Tinto would be charging higher depreciation on </w:t>
      </w:r>
      <w:r w:rsidR="00442244">
        <w:rPr>
          <w:rFonts w:ascii="Times New Roman" w:hAnsi="Times New Roman" w:cs="Times New Roman"/>
          <w:iCs/>
          <w:sz w:val="24"/>
          <w:szCs w:val="24"/>
        </w:rPr>
        <w:t xml:space="preserve">lower net reliable value of assets. </w:t>
      </w:r>
      <w:r w:rsidR="00073BAA">
        <w:rPr>
          <w:rFonts w:ascii="Times New Roman" w:hAnsi="Times New Roman" w:cs="Times New Roman"/>
          <w:iCs/>
          <w:sz w:val="24"/>
          <w:szCs w:val="24"/>
        </w:rPr>
        <w:t xml:space="preserve">In other words, future cash inflow of cash </w:t>
      </w:r>
      <w:r w:rsidR="004120B2">
        <w:rPr>
          <w:rFonts w:ascii="Times New Roman" w:hAnsi="Times New Roman" w:cs="Times New Roman"/>
          <w:iCs/>
          <w:sz w:val="24"/>
          <w:szCs w:val="24"/>
        </w:rPr>
        <w:t>generating</w:t>
      </w:r>
      <w:r w:rsidR="00073BAA">
        <w:rPr>
          <w:rFonts w:ascii="Times New Roman" w:hAnsi="Times New Roman" w:cs="Times New Roman"/>
          <w:iCs/>
          <w:sz w:val="24"/>
          <w:szCs w:val="24"/>
        </w:rPr>
        <w:t xml:space="preserve"> units, </w:t>
      </w:r>
      <w:r w:rsidR="004120B2">
        <w:rPr>
          <w:rFonts w:ascii="Times New Roman" w:hAnsi="Times New Roman" w:cs="Times New Roman"/>
          <w:iCs/>
          <w:sz w:val="24"/>
          <w:szCs w:val="24"/>
        </w:rPr>
        <w:t>i.e.</w:t>
      </w:r>
      <w:r w:rsidR="00073BAA">
        <w:rPr>
          <w:rFonts w:ascii="Times New Roman" w:hAnsi="Times New Roman" w:cs="Times New Roman"/>
          <w:iCs/>
          <w:sz w:val="24"/>
          <w:szCs w:val="24"/>
        </w:rPr>
        <w:t xml:space="preserve"> mines and sites </w:t>
      </w:r>
      <w:r w:rsidR="004120B2">
        <w:rPr>
          <w:rFonts w:ascii="Times New Roman" w:hAnsi="Times New Roman" w:cs="Times New Roman"/>
          <w:iCs/>
          <w:sz w:val="24"/>
          <w:szCs w:val="24"/>
        </w:rPr>
        <w:t>would</w:t>
      </w:r>
      <w:r w:rsidR="00073BAA">
        <w:rPr>
          <w:rFonts w:ascii="Times New Roman" w:hAnsi="Times New Roman" w:cs="Times New Roman"/>
          <w:iCs/>
          <w:sz w:val="24"/>
          <w:szCs w:val="24"/>
        </w:rPr>
        <w:t xml:space="preserve"> be </w:t>
      </w:r>
      <w:r w:rsidR="004120B2">
        <w:rPr>
          <w:rFonts w:ascii="Times New Roman" w:hAnsi="Times New Roman" w:cs="Times New Roman"/>
          <w:iCs/>
          <w:sz w:val="24"/>
          <w:szCs w:val="24"/>
        </w:rPr>
        <w:t>affected</w:t>
      </w:r>
      <w:r w:rsidR="00073BAA">
        <w:rPr>
          <w:rFonts w:ascii="Times New Roman" w:hAnsi="Times New Roman" w:cs="Times New Roman"/>
          <w:iCs/>
          <w:sz w:val="24"/>
          <w:szCs w:val="24"/>
        </w:rPr>
        <w:t xml:space="preserve"> by the price of commodity </w:t>
      </w:r>
      <w:r w:rsidR="004120B2">
        <w:rPr>
          <w:rFonts w:ascii="Times New Roman" w:hAnsi="Times New Roman" w:cs="Times New Roman"/>
          <w:iCs/>
          <w:sz w:val="24"/>
          <w:szCs w:val="24"/>
        </w:rPr>
        <w:t xml:space="preserve">prevailing in the international commodity </w:t>
      </w:r>
      <w:r w:rsidR="004E1065">
        <w:rPr>
          <w:rFonts w:ascii="Times New Roman" w:hAnsi="Times New Roman" w:cs="Times New Roman"/>
          <w:iCs/>
          <w:sz w:val="24"/>
          <w:szCs w:val="24"/>
        </w:rPr>
        <w:t>market</w:t>
      </w:r>
      <w:r w:rsidR="00396862">
        <w:rPr>
          <w:rFonts w:ascii="Times New Roman" w:hAnsi="Times New Roman" w:cs="Times New Roman"/>
          <w:iCs/>
          <w:sz w:val="24"/>
          <w:szCs w:val="24"/>
        </w:rPr>
        <w:t xml:space="preserve"> (</w:t>
      </w:r>
      <w:r w:rsidR="00396862">
        <w:rPr>
          <w:rFonts w:ascii="Times New Roman" w:hAnsi="Times New Roman" w:cs="Times New Roman"/>
          <w:sz w:val="24"/>
          <w:szCs w:val="24"/>
        </w:rPr>
        <w:t xml:space="preserve">Schauten, M., Stegink, R., Graadd, G., </w:t>
      </w:r>
      <w:r w:rsidR="00396862" w:rsidRPr="003A15BC">
        <w:rPr>
          <w:rFonts w:ascii="Times New Roman" w:hAnsi="Times New Roman" w:cs="Times New Roman"/>
          <w:sz w:val="24"/>
          <w:szCs w:val="24"/>
        </w:rPr>
        <w:t>2010)</w:t>
      </w:r>
      <w:r w:rsidR="004E1065">
        <w:rPr>
          <w:rFonts w:ascii="Times New Roman" w:hAnsi="Times New Roman" w:cs="Times New Roman"/>
          <w:iCs/>
          <w:sz w:val="24"/>
          <w:szCs w:val="24"/>
        </w:rPr>
        <w:t xml:space="preserve">. </w:t>
      </w:r>
      <w:r w:rsidR="00FD3637">
        <w:rPr>
          <w:rFonts w:ascii="Times New Roman" w:hAnsi="Times New Roman" w:cs="Times New Roman"/>
          <w:iCs/>
          <w:sz w:val="24"/>
          <w:szCs w:val="24"/>
        </w:rPr>
        <w:t xml:space="preserve">This is inconsistent </w:t>
      </w:r>
      <w:r w:rsidR="0030222D">
        <w:rPr>
          <w:rFonts w:ascii="Times New Roman" w:hAnsi="Times New Roman" w:cs="Times New Roman"/>
          <w:iCs/>
          <w:sz w:val="24"/>
          <w:szCs w:val="24"/>
        </w:rPr>
        <w:t xml:space="preserve">with both methods of charging depreciation of units of production basis and </w:t>
      </w:r>
      <w:r w:rsidR="00D22DA7">
        <w:rPr>
          <w:rFonts w:ascii="Times New Roman" w:hAnsi="Times New Roman" w:cs="Times New Roman"/>
          <w:iCs/>
          <w:sz w:val="24"/>
          <w:szCs w:val="24"/>
        </w:rPr>
        <w:t xml:space="preserve">straight line </w:t>
      </w:r>
      <w:r w:rsidR="00891F9D">
        <w:rPr>
          <w:rFonts w:ascii="Times New Roman" w:hAnsi="Times New Roman" w:cs="Times New Roman"/>
          <w:iCs/>
          <w:sz w:val="24"/>
          <w:szCs w:val="24"/>
        </w:rPr>
        <w:t>basis</w:t>
      </w:r>
      <w:r w:rsidR="00265D5B">
        <w:rPr>
          <w:rFonts w:ascii="Times New Roman" w:hAnsi="Times New Roman" w:cs="Times New Roman"/>
          <w:iCs/>
          <w:sz w:val="24"/>
          <w:szCs w:val="24"/>
        </w:rPr>
        <w:t xml:space="preserve"> used by the company. Thus, even after </w:t>
      </w:r>
      <w:r w:rsidR="00971F1E">
        <w:rPr>
          <w:rFonts w:ascii="Times New Roman" w:hAnsi="Times New Roman" w:cs="Times New Roman"/>
          <w:iCs/>
          <w:sz w:val="24"/>
          <w:szCs w:val="24"/>
        </w:rPr>
        <w:t xml:space="preserve">adoption of accounting concepts </w:t>
      </w:r>
      <w:r w:rsidR="00AC6F35">
        <w:rPr>
          <w:rFonts w:ascii="Times New Roman" w:hAnsi="Times New Roman" w:cs="Times New Roman"/>
          <w:iCs/>
          <w:sz w:val="24"/>
          <w:szCs w:val="24"/>
        </w:rPr>
        <w:t>endorsed</w:t>
      </w:r>
      <w:r w:rsidR="00971F1E">
        <w:rPr>
          <w:rFonts w:ascii="Times New Roman" w:hAnsi="Times New Roman" w:cs="Times New Roman"/>
          <w:iCs/>
          <w:sz w:val="24"/>
          <w:szCs w:val="24"/>
        </w:rPr>
        <w:t xml:space="preserve"> by </w:t>
      </w:r>
      <w:r w:rsidR="00AC6F35">
        <w:rPr>
          <w:rFonts w:ascii="Times New Roman" w:hAnsi="Times New Roman" w:cs="Times New Roman"/>
          <w:iCs/>
          <w:sz w:val="24"/>
          <w:szCs w:val="24"/>
        </w:rPr>
        <w:t xml:space="preserve">IFRS, the company </w:t>
      </w:r>
      <w:r w:rsidR="007C5518">
        <w:rPr>
          <w:rFonts w:ascii="Times New Roman" w:hAnsi="Times New Roman" w:cs="Times New Roman"/>
          <w:iCs/>
          <w:sz w:val="24"/>
          <w:szCs w:val="24"/>
        </w:rPr>
        <w:t xml:space="preserve">faces asset </w:t>
      </w:r>
      <w:r w:rsidR="004E7768">
        <w:rPr>
          <w:rFonts w:ascii="Times New Roman" w:hAnsi="Times New Roman" w:cs="Times New Roman"/>
          <w:iCs/>
          <w:sz w:val="24"/>
          <w:szCs w:val="24"/>
        </w:rPr>
        <w:t>measurement</w:t>
      </w:r>
      <w:r w:rsidR="007C5518">
        <w:rPr>
          <w:rFonts w:ascii="Times New Roman" w:hAnsi="Times New Roman" w:cs="Times New Roman"/>
          <w:iCs/>
          <w:sz w:val="24"/>
          <w:szCs w:val="24"/>
        </w:rPr>
        <w:t xml:space="preserve"> problem. </w:t>
      </w:r>
      <w:r w:rsidR="004E7768">
        <w:rPr>
          <w:rFonts w:ascii="Times New Roman" w:hAnsi="Times New Roman" w:cs="Times New Roman"/>
          <w:iCs/>
          <w:sz w:val="24"/>
          <w:szCs w:val="24"/>
        </w:rPr>
        <w:t xml:space="preserve">Moreover, estimates are subjective to </w:t>
      </w:r>
      <w:r w:rsidR="00B94A6C">
        <w:rPr>
          <w:rFonts w:ascii="Times New Roman" w:hAnsi="Times New Roman" w:cs="Times New Roman"/>
          <w:iCs/>
          <w:sz w:val="24"/>
          <w:szCs w:val="24"/>
        </w:rPr>
        <w:t xml:space="preserve">biasness and </w:t>
      </w:r>
      <w:r w:rsidR="00B618D2">
        <w:rPr>
          <w:rFonts w:ascii="Times New Roman" w:hAnsi="Times New Roman" w:cs="Times New Roman"/>
          <w:iCs/>
          <w:sz w:val="24"/>
          <w:szCs w:val="24"/>
        </w:rPr>
        <w:t xml:space="preserve">valuation assigned by each </w:t>
      </w:r>
      <w:r w:rsidR="00DB4C4F">
        <w:rPr>
          <w:rFonts w:ascii="Times New Roman" w:hAnsi="Times New Roman" w:cs="Times New Roman"/>
          <w:iCs/>
          <w:sz w:val="24"/>
          <w:szCs w:val="24"/>
        </w:rPr>
        <w:t xml:space="preserve">asset valuer differs based on different parameters. </w:t>
      </w:r>
      <w:r w:rsidR="001D2F0E">
        <w:rPr>
          <w:rFonts w:ascii="Times New Roman" w:hAnsi="Times New Roman" w:cs="Times New Roman"/>
          <w:iCs/>
          <w:sz w:val="24"/>
          <w:szCs w:val="24"/>
        </w:rPr>
        <w:t xml:space="preserve">Thus, estimates of future </w:t>
      </w:r>
      <w:r w:rsidR="001C4811">
        <w:rPr>
          <w:rFonts w:ascii="Times New Roman" w:hAnsi="Times New Roman" w:cs="Times New Roman"/>
          <w:iCs/>
          <w:sz w:val="24"/>
          <w:szCs w:val="24"/>
        </w:rPr>
        <w:t xml:space="preserve">cash flow </w:t>
      </w:r>
      <w:r w:rsidR="005516F0">
        <w:rPr>
          <w:rFonts w:ascii="Times New Roman" w:hAnsi="Times New Roman" w:cs="Times New Roman"/>
          <w:iCs/>
          <w:sz w:val="24"/>
          <w:szCs w:val="24"/>
        </w:rPr>
        <w:t xml:space="preserve">may </w:t>
      </w:r>
      <w:r w:rsidR="00DD3D94">
        <w:rPr>
          <w:rFonts w:ascii="Times New Roman" w:hAnsi="Times New Roman" w:cs="Times New Roman"/>
          <w:iCs/>
          <w:sz w:val="24"/>
          <w:szCs w:val="24"/>
        </w:rPr>
        <w:t>differ significantly</w:t>
      </w:r>
      <w:r w:rsidR="005516F0">
        <w:rPr>
          <w:rFonts w:ascii="Times New Roman" w:hAnsi="Times New Roman" w:cs="Times New Roman"/>
          <w:iCs/>
          <w:sz w:val="24"/>
          <w:szCs w:val="24"/>
        </w:rPr>
        <w:t xml:space="preserve"> based </w:t>
      </w:r>
      <w:r w:rsidR="00607866">
        <w:rPr>
          <w:rFonts w:ascii="Times New Roman" w:hAnsi="Times New Roman" w:cs="Times New Roman"/>
          <w:iCs/>
          <w:sz w:val="24"/>
          <w:szCs w:val="24"/>
        </w:rPr>
        <w:t>on ex</w:t>
      </w:r>
      <w:r w:rsidR="00B6355B">
        <w:rPr>
          <w:rFonts w:ascii="Times New Roman" w:hAnsi="Times New Roman" w:cs="Times New Roman"/>
          <w:iCs/>
          <w:sz w:val="24"/>
          <w:szCs w:val="24"/>
        </w:rPr>
        <w:t>p</w:t>
      </w:r>
      <w:r w:rsidR="00607866">
        <w:rPr>
          <w:rFonts w:ascii="Times New Roman" w:hAnsi="Times New Roman" w:cs="Times New Roman"/>
          <w:iCs/>
          <w:sz w:val="24"/>
          <w:szCs w:val="24"/>
        </w:rPr>
        <w:t>ert opinion</w:t>
      </w:r>
      <w:r w:rsidR="00B6355B">
        <w:rPr>
          <w:rFonts w:ascii="Times New Roman" w:hAnsi="Times New Roman" w:cs="Times New Roman"/>
          <w:iCs/>
          <w:sz w:val="24"/>
          <w:szCs w:val="24"/>
        </w:rPr>
        <w:t>s</w:t>
      </w:r>
      <w:r w:rsidR="00607866">
        <w:rPr>
          <w:rFonts w:ascii="Times New Roman" w:hAnsi="Times New Roman" w:cs="Times New Roman"/>
          <w:iCs/>
          <w:sz w:val="24"/>
          <w:szCs w:val="24"/>
        </w:rPr>
        <w:t xml:space="preserve"> about future </w:t>
      </w:r>
      <w:r w:rsidR="00B6355B">
        <w:rPr>
          <w:rFonts w:ascii="Times New Roman" w:hAnsi="Times New Roman" w:cs="Times New Roman"/>
          <w:iCs/>
          <w:sz w:val="24"/>
          <w:szCs w:val="24"/>
        </w:rPr>
        <w:t xml:space="preserve">direction of </w:t>
      </w:r>
      <w:r w:rsidR="008F7C71">
        <w:rPr>
          <w:rFonts w:ascii="Times New Roman" w:hAnsi="Times New Roman" w:cs="Times New Roman"/>
          <w:iCs/>
          <w:sz w:val="24"/>
          <w:szCs w:val="24"/>
        </w:rPr>
        <w:t xml:space="preserve">commodity </w:t>
      </w:r>
      <w:r w:rsidR="00B6355B">
        <w:rPr>
          <w:rFonts w:ascii="Times New Roman" w:hAnsi="Times New Roman" w:cs="Times New Roman"/>
          <w:iCs/>
          <w:sz w:val="24"/>
          <w:szCs w:val="24"/>
        </w:rPr>
        <w:t xml:space="preserve">market. </w:t>
      </w:r>
      <w:r w:rsidR="00F004CD">
        <w:rPr>
          <w:rFonts w:ascii="Times New Roman" w:hAnsi="Times New Roman" w:cs="Times New Roman"/>
          <w:iCs/>
          <w:sz w:val="24"/>
          <w:szCs w:val="24"/>
        </w:rPr>
        <w:t xml:space="preserve">This is because </w:t>
      </w:r>
      <w:r w:rsidR="00E02966">
        <w:rPr>
          <w:rFonts w:ascii="Times New Roman" w:hAnsi="Times New Roman" w:cs="Times New Roman"/>
          <w:iCs/>
          <w:sz w:val="24"/>
          <w:szCs w:val="24"/>
        </w:rPr>
        <w:t xml:space="preserve">each valuer would assign different realizable value </w:t>
      </w:r>
      <w:r w:rsidR="0077022A">
        <w:rPr>
          <w:rFonts w:ascii="Times New Roman" w:hAnsi="Times New Roman" w:cs="Times New Roman"/>
          <w:iCs/>
          <w:sz w:val="24"/>
          <w:szCs w:val="24"/>
        </w:rPr>
        <w:t>to asse</w:t>
      </w:r>
      <w:r w:rsidR="008331AF">
        <w:rPr>
          <w:rFonts w:ascii="Times New Roman" w:hAnsi="Times New Roman" w:cs="Times New Roman"/>
          <w:iCs/>
          <w:sz w:val="24"/>
          <w:szCs w:val="24"/>
        </w:rPr>
        <w:t xml:space="preserve">t </w:t>
      </w:r>
      <w:r w:rsidR="003D6278">
        <w:rPr>
          <w:rFonts w:ascii="Times New Roman" w:hAnsi="Times New Roman" w:cs="Times New Roman"/>
          <w:iCs/>
          <w:sz w:val="24"/>
          <w:szCs w:val="24"/>
        </w:rPr>
        <w:t xml:space="preserve">affecting cash inflow from cash </w:t>
      </w:r>
      <w:r w:rsidR="005D5166">
        <w:rPr>
          <w:rFonts w:ascii="Times New Roman" w:hAnsi="Times New Roman" w:cs="Times New Roman"/>
          <w:iCs/>
          <w:sz w:val="24"/>
          <w:szCs w:val="24"/>
        </w:rPr>
        <w:t>generating</w:t>
      </w:r>
      <w:r w:rsidR="003D6278">
        <w:rPr>
          <w:rFonts w:ascii="Times New Roman" w:hAnsi="Times New Roman" w:cs="Times New Roman"/>
          <w:iCs/>
          <w:sz w:val="24"/>
          <w:szCs w:val="24"/>
        </w:rPr>
        <w:t xml:space="preserve"> units. </w:t>
      </w:r>
      <w:r w:rsidR="003C02CE">
        <w:rPr>
          <w:rFonts w:ascii="Times New Roman" w:hAnsi="Times New Roman" w:cs="Times New Roman"/>
          <w:iCs/>
          <w:sz w:val="24"/>
          <w:szCs w:val="24"/>
        </w:rPr>
        <w:t xml:space="preserve">In addition, discount factor is another key </w:t>
      </w:r>
      <w:r w:rsidR="00BE1652">
        <w:rPr>
          <w:rFonts w:ascii="Times New Roman" w:hAnsi="Times New Roman" w:cs="Times New Roman"/>
          <w:iCs/>
          <w:sz w:val="24"/>
          <w:szCs w:val="24"/>
        </w:rPr>
        <w:t xml:space="preserve">component adding to measurement concerns. </w:t>
      </w:r>
      <w:r w:rsidR="009D574A">
        <w:rPr>
          <w:rFonts w:ascii="Times New Roman" w:hAnsi="Times New Roman" w:cs="Times New Roman"/>
          <w:iCs/>
          <w:sz w:val="24"/>
          <w:szCs w:val="24"/>
        </w:rPr>
        <w:t>Discount</w:t>
      </w:r>
      <w:r w:rsidR="007D3B50">
        <w:rPr>
          <w:rFonts w:ascii="Times New Roman" w:hAnsi="Times New Roman" w:cs="Times New Roman"/>
          <w:iCs/>
          <w:sz w:val="24"/>
          <w:szCs w:val="24"/>
        </w:rPr>
        <w:t xml:space="preserve"> rate may differ </w:t>
      </w:r>
      <w:r w:rsidR="009D574A">
        <w:rPr>
          <w:rFonts w:ascii="Times New Roman" w:hAnsi="Times New Roman" w:cs="Times New Roman"/>
          <w:iCs/>
          <w:sz w:val="24"/>
          <w:szCs w:val="24"/>
        </w:rPr>
        <w:t xml:space="preserve">on account of </w:t>
      </w:r>
      <w:r w:rsidR="00C70401">
        <w:rPr>
          <w:rFonts w:ascii="Times New Roman" w:hAnsi="Times New Roman" w:cs="Times New Roman"/>
          <w:iCs/>
          <w:sz w:val="24"/>
          <w:szCs w:val="24"/>
        </w:rPr>
        <w:t>market</w:t>
      </w:r>
      <w:r w:rsidR="009D574A">
        <w:rPr>
          <w:rFonts w:ascii="Times New Roman" w:hAnsi="Times New Roman" w:cs="Times New Roman"/>
          <w:iCs/>
          <w:sz w:val="24"/>
          <w:szCs w:val="24"/>
        </w:rPr>
        <w:t xml:space="preserve"> </w:t>
      </w:r>
      <w:r w:rsidR="001A6841">
        <w:rPr>
          <w:rFonts w:ascii="Times New Roman" w:hAnsi="Times New Roman" w:cs="Times New Roman"/>
          <w:iCs/>
          <w:sz w:val="24"/>
          <w:szCs w:val="24"/>
        </w:rPr>
        <w:t xml:space="preserve">conditions, </w:t>
      </w:r>
      <w:r w:rsidR="0089223C">
        <w:rPr>
          <w:rFonts w:ascii="Times New Roman" w:hAnsi="Times New Roman" w:cs="Times New Roman"/>
          <w:iCs/>
          <w:sz w:val="24"/>
          <w:szCs w:val="24"/>
        </w:rPr>
        <w:t xml:space="preserve">company’s </w:t>
      </w:r>
      <w:r w:rsidR="001A6841">
        <w:rPr>
          <w:rFonts w:ascii="Times New Roman" w:hAnsi="Times New Roman" w:cs="Times New Roman"/>
          <w:iCs/>
          <w:sz w:val="24"/>
          <w:szCs w:val="24"/>
        </w:rPr>
        <w:t xml:space="preserve">cost of </w:t>
      </w:r>
      <w:r w:rsidR="0089223C">
        <w:rPr>
          <w:rFonts w:ascii="Times New Roman" w:hAnsi="Times New Roman" w:cs="Times New Roman"/>
          <w:iCs/>
          <w:sz w:val="24"/>
          <w:szCs w:val="24"/>
        </w:rPr>
        <w:t>capital</w:t>
      </w:r>
      <w:r w:rsidR="005A6496">
        <w:rPr>
          <w:rFonts w:ascii="Times New Roman" w:hAnsi="Times New Roman" w:cs="Times New Roman"/>
          <w:iCs/>
          <w:sz w:val="24"/>
          <w:szCs w:val="24"/>
        </w:rPr>
        <w:t xml:space="preserve"> and </w:t>
      </w:r>
      <w:r w:rsidR="0028243E">
        <w:rPr>
          <w:rFonts w:ascii="Times New Roman" w:hAnsi="Times New Roman" w:cs="Times New Roman"/>
          <w:iCs/>
          <w:sz w:val="24"/>
          <w:szCs w:val="24"/>
        </w:rPr>
        <w:t>loans raised for buying specific mines and sites</w:t>
      </w:r>
      <w:r w:rsidR="00396862">
        <w:rPr>
          <w:rFonts w:ascii="Times New Roman" w:hAnsi="Times New Roman" w:cs="Times New Roman"/>
          <w:iCs/>
          <w:sz w:val="24"/>
          <w:szCs w:val="24"/>
        </w:rPr>
        <w:t xml:space="preserve"> (</w:t>
      </w:r>
      <w:r w:rsidR="00396862">
        <w:rPr>
          <w:rFonts w:ascii="Times New Roman" w:hAnsi="Times New Roman" w:cs="Times New Roman"/>
          <w:sz w:val="24"/>
          <w:szCs w:val="24"/>
        </w:rPr>
        <w:t xml:space="preserve">Strench, B., Schellenger, J., </w:t>
      </w:r>
      <w:r w:rsidR="00396862" w:rsidRPr="003A15BC">
        <w:rPr>
          <w:rFonts w:ascii="Times New Roman" w:hAnsi="Times New Roman" w:cs="Times New Roman"/>
          <w:sz w:val="24"/>
          <w:szCs w:val="24"/>
        </w:rPr>
        <w:t>2013)</w:t>
      </w:r>
      <w:r w:rsidR="0028243E">
        <w:rPr>
          <w:rFonts w:ascii="Times New Roman" w:hAnsi="Times New Roman" w:cs="Times New Roman"/>
          <w:iCs/>
          <w:sz w:val="24"/>
          <w:szCs w:val="24"/>
        </w:rPr>
        <w:t xml:space="preserve">. </w:t>
      </w:r>
      <w:r w:rsidR="009E1D64">
        <w:rPr>
          <w:rFonts w:ascii="Times New Roman" w:hAnsi="Times New Roman" w:cs="Times New Roman"/>
          <w:iCs/>
          <w:sz w:val="24"/>
          <w:szCs w:val="24"/>
        </w:rPr>
        <w:t xml:space="preserve">Higher discount rate results in </w:t>
      </w:r>
      <w:r w:rsidR="00230184">
        <w:rPr>
          <w:rFonts w:ascii="Times New Roman" w:hAnsi="Times New Roman" w:cs="Times New Roman"/>
          <w:iCs/>
          <w:sz w:val="24"/>
          <w:szCs w:val="24"/>
        </w:rPr>
        <w:t>lower future cash inflows and lower net realizable value</w:t>
      </w:r>
      <w:r w:rsidR="005860D0">
        <w:rPr>
          <w:rFonts w:ascii="Times New Roman" w:hAnsi="Times New Roman" w:cs="Times New Roman"/>
          <w:iCs/>
          <w:sz w:val="24"/>
          <w:szCs w:val="24"/>
        </w:rPr>
        <w:t xml:space="preserve"> and vice versa. Thus, Rio </w:t>
      </w:r>
      <w:r w:rsidR="00912AEF">
        <w:rPr>
          <w:rFonts w:ascii="Times New Roman" w:hAnsi="Times New Roman" w:cs="Times New Roman"/>
          <w:iCs/>
          <w:sz w:val="24"/>
          <w:szCs w:val="24"/>
        </w:rPr>
        <w:t xml:space="preserve">Tinto faces asset measurement problems under conceptual framework. </w:t>
      </w:r>
    </w:p>
    <w:p w:rsidR="00D91357" w:rsidRDefault="00F66924" w:rsidP="007D0965">
      <w:pPr>
        <w:pStyle w:val="Heading1"/>
        <w:spacing w:line="360" w:lineRule="auto"/>
      </w:pPr>
      <w:bookmarkStart w:id="7" w:name="_Toc450577194"/>
      <w:r>
        <w:t xml:space="preserve">Significance of different processes for </w:t>
      </w:r>
      <w:r w:rsidR="0054761C">
        <w:t>achievement of estimates</w:t>
      </w:r>
      <w:bookmarkEnd w:id="7"/>
    </w:p>
    <w:p w:rsidR="00F66924" w:rsidRDefault="00F66924" w:rsidP="007D0965">
      <w:pPr>
        <w:pStyle w:val="Body"/>
        <w:spacing w:line="360" w:lineRule="auto"/>
        <w:contextualSpacing/>
        <w:jc w:val="both"/>
        <w:rPr>
          <w:rFonts w:ascii="Times New Roman" w:hAnsi="Times New Roman" w:cs="Times New Roman"/>
          <w:sz w:val="24"/>
          <w:szCs w:val="24"/>
        </w:rPr>
      </w:pPr>
    </w:p>
    <w:p w:rsidR="00222929" w:rsidRDefault="005C5BE0" w:rsidP="007D0965">
      <w:pPr>
        <w:pStyle w:val="Body"/>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Rio Tinto uses different processes for </w:t>
      </w:r>
      <w:r w:rsidR="00773EB4">
        <w:rPr>
          <w:rFonts w:ascii="Times New Roman" w:hAnsi="Times New Roman" w:cs="Times New Roman"/>
          <w:sz w:val="24"/>
          <w:szCs w:val="24"/>
        </w:rPr>
        <w:t>achievement</w:t>
      </w:r>
      <w:r>
        <w:rPr>
          <w:rFonts w:ascii="Times New Roman" w:hAnsi="Times New Roman" w:cs="Times New Roman"/>
          <w:sz w:val="24"/>
          <w:szCs w:val="24"/>
        </w:rPr>
        <w:t xml:space="preserve"> of estimates. </w:t>
      </w:r>
      <w:r w:rsidR="00116D06">
        <w:rPr>
          <w:rFonts w:ascii="Times New Roman" w:hAnsi="Times New Roman" w:cs="Times New Roman"/>
          <w:sz w:val="24"/>
          <w:szCs w:val="24"/>
        </w:rPr>
        <w:t xml:space="preserve">These processes have tremendous significance </w:t>
      </w:r>
      <w:r w:rsidR="00F342B8">
        <w:rPr>
          <w:rFonts w:ascii="Times New Roman" w:hAnsi="Times New Roman" w:cs="Times New Roman"/>
          <w:sz w:val="24"/>
          <w:szCs w:val="24"/>
        </w:rPr>
        <w:t xml:space="preserve">since </w:t>
      </w:r>
      <w:r w:rsidR="001A41F4">
        <w:rPr>
          <w:rFonts w:ascii="Times New Roman" w:hAnsi="Times New Roman" w:cs="Times New Roman"/>
          <w:sz w:val="24"/>
          <w:szCs w:val="24"/>
        </w:rPr>
        <w:t>they guide the company’s management in achievement of estimates.</w:t>
      </w:r>
      <w:r w:rsidR="00801A42" w:rsidRPr="00801A42">
        <w:rPr>
          <w:rFonts w:ascii="Times New Roman" w:hAnsi="Times New Roman" w:cs="Times New Roman"/>
          <w:sz w:val="24"/>
          <w:szCs w:val="24"/>
        </w:rPr>
        <w:t xml:space="preserve"> Estimates are based on market conditions,</w:t>
      </w:r>
      <w:r w:rsidR="00801A42" w:rsidRPr="002837C6">
        <w:rPr>
          <w:rFonts w:ascii="Times New Roman" w:hAnsi="Times New Roman" w:cs="Times New Roman"/>
          <w:sz w:val="24"/>
          <w:szCs w:val="24"/>
        </w:rPr>
        <w:t xml:space="preserve"> </w:t>
      </w:r>
      <w:r w:rsidR="004C3DD8" w:rsidRPr="002837C6">
        <w:rPr>
          <w:rFonts w:ascii="Times New Roman" w:hAnsi="Times New Roman" w:cs="Times New Roman"/>
          <w:sz w:val="24"/>
          <w:szCs w:val="24"/>
        </w:rPr>
        <w:t>management’s</w:t>
      </w:r>
      <w:r w:rsidR="00801A42" w:rsidRPr="002837C6">
        <w:rPr>
          <w:rFonts w:ascii="Times New Roman" w:hAnsi="Times New Roman" w:cs="Times New Roman"/>
          <w:sz w:val="24"/>
          <w:szCs w:val="24"/>
        </w:rPr>
        <w:t xml:space="preserve"> </w:t>
      </w:r>
      <w:r w:rsidR="002837C6" w:rsidRPr="002837C6">
        <w:rPr>
          <w:rFonts w:ascii="Times New Roman" w:hAnsi="Times New Roman" w:cs="Times New Roman"/>
          <w:sz w:val="24"/>
          <w:szCs w:val="24"/>
        </w:rPr>
        <w:t>judgments</w:t>
      </w:r>
      <w:r w:rsidR="004C3DD8" w:rsidRPr="002837C6">
        <w:rPr>
          <w:rFonts w:ascii="Times New Roman" w:hAnsi="Times New Roman" w:cs="Times New Roman"/>
          <w:sz w:val="24"/>
          <w:szCs w:val="24"/>
        </w:rPr>
        <w:t xml:space="preserve"> and</w:t>
      </w:r>
      <w:r w:rsidR="004C3DD8" w:rsidRPr="004C1ADB">
        <w:rPr>
          <w:rFonts w:ascii="Times New Roman" w:hAnsi="Times New Roman" w:cs="Times New Roman"/>
          <w:sz w:val="24"/>
          <w:szCs w:val="24"/>
        </w:rPr>
        <w:t xml:space="preserve"> </w:t>
      </w:r>
      <w:r w:rsidR="004F5180" w:rsidRPr="004C1ADB">
        <w:rPr>
          <w:rFonts w:ascii="Times New Roman" w:hAnsi="Times New Roman" w:cs="Times New Roman"/>
          <w:sz w:val="24"/>
          <w:szCs w:val="24"/>
        </w:rPr>
        <w:t xml:space="preserve">type of </w:t>
      </w:r>
      <w:r w:rsidR="004C1ADB" w:rsidRPr="004C1ADB">
        <w:rPr>
          <w:rFonts w:ascii="Times New Roman" w:hAnsi="Times New Roman" w:cs="Times New Roman"/>
          <w:sz w:val="24"/>
          <w:szCs w:val="24"/>
        </w:rPr>
        <w:t>assets</w:t>
      </w:r>
      <w:r w:rsidR="004F5180" w:rsidRPr="004C1ADB">
        <w:rPr>
          <w:rFonts w:ascii="Times New Roman" w:hAnsi="Times New Roman" w:cs="Times New Roman"/>
          <w:sz w:val="24"/>
          <w:szCs w:val="24"/>
        </w:rPr>
        <w:t xml:space="preserve"> </w:t>
      </w:r>
      <w:r w:rsidR="004F5180" w:rsidRPr="004C1ADB">
        <w:rPr>
          <w:rFonts w:ascii="Times New Roman" w:hAnsi="Times New Roman" w:cs="Times New Roman"/>
          <w:sz w:val="24"/>
          <w:szCs w:val="24"/>
        </w:rPr>
        <w:lastRenderedPageBreak/>
        <w:t xml:space="preserve">involved. </w:t>
      </w:r>
      <w:r w:rsidR="009168BE">
        <w:rPr>
          <w:rFonts w:ascii="Times New Roman" w:hAnsi="Times New Roman" w:cs="Times New Roman"/>
          <w:sz w:val="24"/>
          <w:szCs w:val="24"/>
        </w:rPr>
        <w:t xml:space="preserve">Each of these processes guides company’s </w:t>
      </w:r>
      <w:r w:rsidR="00645120">
        <w:rPr>
          <w:rFonts w:ascii="Times New Roman" w:hAnsi="Times New Roman" w:cs="Times New Roman"/>
          <w:sz w:val="24"/>
          <w:szCs w:val="24"/>
        </w:rPr>
        <w:t>management</w:t>
      </w:r>
      <w:r w:rsidR="009168BE">
        <w:rPr>
          <w:rFonts w:ascii="Times New Roman" w:hAnsi="Times New Roman" w:cs="Times New Roman"/>
          <w:sz w:val="24"/>
          <w:szCs w:val="24"/>
        </w:rPr>
        <w:t xml:space="preserve"> to determine fair value of </w:t>
      </w:r>
      <w:r w:rsidR="00645120">
        <w:rPr>
          <w:rFonts w:ascii="Times New Roman" w:hAnsi="Times New Roman" w:cs="Times New Roman"/>
          <w:sz w:val="24"/>
          <w:szCs w:val="24"/>
        </w:rPr>
        <w:t xml:space="preserve">an </w:t>
      </w:r>
      <w:r w:rsidR="009168BE">
        <w:rPr>
          <w:rFonts w:ascii="Times New Roman" w:hAnsi="Times New Roman" w:cs="Times New Roman"/>
          <w:sz w:val="24"/>
          <w:szCs w:val="24"/>
        </w:rPr>
        <w:t xml:space="preserve">asset on a </w:t>
      </w:r>
      <w:r w:rsidR="00645120">
        <w:rPr>
          <w:rFonts w:ascii="Times New Roman" w:hAnsi="Times New Roman" w:cs="Times New Roman"/>
          <w:sz w:val="24"/>
          <w:szCs w:val="24"/>
        </w:rPr>
        <w:t>particular</w:t>
      </w:r>
      <w:r w:rsidR="009168BE">
        <w:rPr>
          <w:rFonts w:ascii="Times New Roman" w:hAnsi="Times New Roman" w:cs="Times New Roman"/>
          <w:sz w:val="24"/>
          <w:szCs w:val="24"/>
        </w:rPr>
        <w:t xml:space="preserve"> </w:t>
      </w:r>
      <w:r w:rsidR="00645120">
        <w:rPr>
          <w:rFonts w:ascii="Times New Roman" w:hAnsi="Times New Roman" w:cs="Times New Roman"/>
          <w:sz w:val="24"/>
          <w:szCs w:val="24"/>
        </w:rPr>
        <w:t>date</w:t>
      </w:r>
      <w:r w:rsidR="009168BE">
        <w:rPr>
          <w:rFonts w:ascii="Times New Roman" w:hAnsi="Times New Roman" w:cs="Times New Roman"/>
          <w:sz w:val="24"/>
          <w:szCs w:val="24"/>
        </w:rPr>
        <w:t xml:space="preserve">. </w:t>
      </w:r>
      <w:r w:rsidR="00FC3A89">
        <w:rPr>
          <w:rFonts w:ascii="Times New Roman" w:hAnsi="Times New Roman" w:cs="Times New Roman"/>
          <w:sz w:val="24"/>
          <w:szCs w:val="24"/>
        </w:rPr>
        <w:t>The fair value arrived</w:t>
      </w:r>
      <w:r w:rsidR="003B5F6A">
        <w:rPr>
          <w:rFonts w:ascii="Times New Roman" w:hAnsi="Times New Roman" w:cs="Times New Roman"/>
          <w:sz w:val="24"/>
          <w:szCs w:val="24"/>
        </w:rPr>
        <w:t xml:space="preserve"> through estimates </w:t>
      </w:r>
      <w:r w:rsidR="0006044A">
        <w:rPr>
          <w:rFonts w:ascii="Times New Roman" w:hAnsi="Times New Roman" w:cs="Times New Roman"/>
          <w:sz w:val="24"/>
          <w:szCs w:val="24"/>
        </w:rPr>
        <w:t xml:space="preserve">helps the company to compare recorded asset value, current value and market value for charging depreciation and </w:t>
      </w:r>
      <w:r w:rsidR="002A1768">
        <w:rPr>
          <w:rFonts w:ascii="Times New Roman" w:hAnsi="Times New Roman" w:cs="Times New Roman"/>
          <w:sz w:val="24"/>
          <w:szCs w:val="24"/>
        </w:rPr>
        <w:t>recognition of</w:t>
      </w:r>
      <w:r w:rsidR="00D13314">
        <w:rPr>
          <w:rFonts w:ascii="Times New Roman" w:hAnsi="Times New Roman" w:cs="Times New Roman"/>
          <w:sz w:val="24"/>
          <w:szCs w:val="24"/>
        </w:rPr>
        <w:t xml:space="preserve"> </w:t>
      </w:r>
      <w:r w:rsidR="002A1768">
        <w:rPr>
          <w:rFonts w:ascii="Times New Roman" w:hAnsi="Times New Roman" w:cs="Times New Roman"/>
          <w:sz w:val="24"/>
          <w:szCs w:val="24"/>
        </w:rPr>
        <w:t>impairment</w:t>
      </w:r>
      <w:r w:rsidR="00D13314">
        <w:rPr>
          <w:rFonts w:ascii="Times New Roman" w:hAnsi="Times New Roman" w:cs="Times New Roman"/>
          <w:sz w:val="24"/>
          <w:szCs w:val="24"/>
        </w:rPr>
        <w:t xml:space="preserve"> charges</w:t>
      </w:r>
      <w:r w:rsidR="00396862">
        <w:rPr>
          <w:rFonts w:ascii="Times New Roman" w:hAnsi="Times New Roman" w:cs="Times New Roman"/>
          <w:sz w:val="24"/>
          <w:szCs w:val="24"/>
        </w:rPr>
        <w:t xml:space="preserve"> (</w:t>
      </w:r>
      <w:r w:rsidR="00396862">
        <w:rPr>
          <w:rFonts w:ascii="Times New Roman" w:eastAsia="Times New Roman" w:hAnsi="Times New Roman" w:cs="Times New Roman"/>
          <w:sz w:val="24"/>
          <w:szCs w:val="24"/>
        </w:rPr>
        <w:t xml:space="preserve">Tollington, T., Tawy, N., </w:t>
      </w:r>
      <w:r w:rsidR="00396862" w:rsidRPr="00322BE1">
        <w:rPr>
          <w:rFonts w:ascii="Times New Roman" w:eastAsia="Times New Roman" w:hAnsi="Times New Roman" w:cs="Times New Roman"/>
          <w:sz w:val="24"/>
          <w:szCs w:val="24"/>
        </w:rPr>
        <w:t>2010)</w:t>
      </w:r>
      <w:r w:rsidR="00D13314">
        <w:rPr>
          <w:rFonts w:ascii="Times New Roman" w:hAnsi="Times New Roman" w:cs="Times New Roman"/>
          <w:sz w:val="24"/>
          <w:szCs w:val="24"/>
        </w:rPr>
        <w:t>.</w:t>
      </w:r>
      <w:r w:rsidR="008A3FC9">
        <w:rPr>
          <w:rFonts w:ascii="Times New Roman" w:hAnsi="Times New Roman" w:cs="Times New Roman"/>
          <w:sz w:val="24"/>
          <w:szCs w:val="24"/>
        </w:rPr>
        <w:t xml:space="preserve"> The company uses principal accounting policies </w:t>
      </w:r>
      <w:r w:rsidR="00A34C07">
        <w:rPr>
          <w:rFonts w:ascii="Times New Roman" w:hAnsi="Times New Roman" w:cs="Times New Roman"/>
          <w:sz w:val="24"/>
          <w:szCs w:val="24"/>
        </w:rPr>
        <w:t xml:space="preserve">for </w:t>
      </w:r>
      <w:r w:rsidR="00EF4C40">
        <w:rPr>
          <w:rFonts w:ascii="Times New Roman" w:hAnsi="Times New Roman" w:cs="Times New Roman"/>
          <w:sz w:val="24"/>
          <w:szCs w:val="24"/>
        </w:rPr>
        <w:t>preparation</w:t>
      </w:r>
      <w:r w:rsidR="00A34C07">
        <w:rPr>
          <w:rFonts w:ascii="Times New Roman" w:hAnsi="Times New Roman" w:cs="Times New Roman"/>
          <w:sz w:val="24"/>
          <w:szCs w:val="24"/>
        </w:rPr>
        <w:t xml:space="preserve"> of </w:t>
      </w:r>
      <w:r w:rsidR="00EF4C40">
        <w:rPr>
          <w:rFonts w:ascii="Times New Roman" w:hAnsi="Times New Roman" w:cs="Times New Roman"/>
          <w:sz w:val="24"/>
          <w:szCs w:val="24"/>
        </w:rPr>
        <w:t>financial</w:t>
      </w:r>
      <w:r w:rsidR="00A34C07">
        <w:rPr>
          <w:rFonts w:ascii="Times New Roman" w:hAnsi="Times New Roman" w:cs="Times New Roman"/>
          <w:sz w:val="24"/>
          <w:szCs w:val="24"/>
        </w:rPr>
        <w:t xml:space="preserve"> statements. </w:t>
      </w:r>
      <w:r w:rsidR="00AE023A">
        <w:rPr>
          <w:rFonts w:ascii="Times New Roman" w:hAnsi="Times New Roman" w:cs="Times New Roman"/>
          <w:sz w:val="24"/>
          <w:szCs w:val="24"/>
        </w:rPr>
        <w:t xml:space="preserve">For example, in case of </w:t>
      </w:r>
      <w:r w:rsidR="005D0B9B">
        <w:rPr>
          <w:rFonts w:ascii="Times New Roman" w:hAnsi="Times New Roman" w:cs="Times New Roman"/>
          <w:sz w:val="24"/>
          <w:szCs w:val="24"/>
        </w:rPr>
        <w:t xml:space="preserve">impairment, </w:t>
      </w:r>
      <w:r w:rsidR="00EB2726" w:rsidRPr="00EB2726">
        <w:rPr>
          <w:rFonts w:ascii="Times New Roman" w:hAnsi="Times New Roman" w:cs="Times New Roman"/>
          <w:sz w:val="24"/>
          <w:szCs w:val="24"/>
        </w:rPr>
        <w:t>recoverable amount is assessed by reference to the higher of</w:t>
      </w:r>
      <w:r w:rsidR="00503A69">
        <w:rPr>
          <w:rFonts w:ascii="Times New Roman" w:hAnsi="Times New Roman" w:cs="Times New Roman"/>
          <w:sz w:val="24"/>
          <w:szCs w:val="24"/>
        </w:rPr>
        <w:t xml:space="preserve"> asset</w:t>
      </w:r>
      <w:r w:rsidR="00EB2726" w:rsidRPr="00EB2726">
        <w:rPr>
          <w:rFonts w:ascii="Times New Roman" w:hAnsi="Times New Roman" w:cs="Times New Roman"/>
          <w:sz w:val="24"/>
          <w:szCs w:val="24"/>
        </w:rPr>
        <w:t xml:space="preserve"> value in use</w:t>
      </w:r>
      <w:r w:rsidR="00503A69">
        <w:rPr>
          <w:rFonts w:ascii="Times New Roman" w:hAnsi="Times New Roman" w:cs="Times New Roman"/>
          <w:sz w:val="24"/>
          <w:szCs w:val="24"/>
        </w:rPr>
        <w:t>.</w:t>
      </w:r>
      <w:r w:rsidR="00A8280F">
        <w:rPr>
          <w:rFonts w:ascii="Times New Roman" w:hAnsi="Times New Roman" w:cs="Times New Roman"/>
          <w:sz w:val="24"/>
          <w:szCs w:val="24"/>
        </w:rPr>
        <w:t xml:space="preserve"> In other words,</w:t>
      </w:r>
      <w:r w:rsidR="00EB2726" w:rsidRPr="00EB2726">
        <w:rPr>
          <w:rFonts w:ascii="Times New Roman" w:hAnsi="Times New Roman" w:cs="Times New Roman"/>
          <w:sz w:val="24"/>
          <w:szCs w:val="24"/>
        </w:rPr>
        <w:t xml:space="preserve"> </w:t>
      </w:r>
      <w:r w:rsidR="00EC0715">
        <w:rPr>
          <w:rFonts w:ascii="Times New Roman" w:hAnsi="Times New Roman" w:cs="Times New Roman"/>
          <w:sz w:val="24"/>
          <w:szCs w:val="24"/>
        </w:rPr>
        <w:t>NPV</w:t>
      </w:r>
      <w:r w:rsidR="00EB2726" w:rsidRPr="00EB2726">
        <w:rPr>
          <w:rFonts w:ascii="Times New Roman" w:hAnsi="Times New Roman" w:cs="Times New Roman"/>
          <w:sz w:val="24"/>
          <w:szCs w:val="24"/>
        </w:rPr>
        <w:t xml:space="preserve"> of expected future cash </w:t>
      </w:r>
      <w:r w:rsidR="00DC3504">
        <w:rPr>
          <w:rFonts w:ascii="Times New Roman" w:hAnsi="Times New Roman" w:cs="Times New Roman"/>
          <w:sz w:val="24"/>
          <w:szCs w:val="24"/>
        </w:rPr>
        <w:t>in</w:t>
      </w:r>
      <w:r w:rsidR="00EB2726" w:rsidRPr="00EB2726">
        <w:rPr>
          <w:rFonts w:ascii="Times New Roman" w:hAnsi="Times New Roman" w:cs="Times New Roman"/>
          <w:sz w:val="24"/>
          <w:szCs w:val="24"/>
        </w:rPr>
        <w:t>flows of the relevant cash generating unit in its current</w:t>
      </w:r>
      <w:r w:rsidR="00EB2726">
        <w:rPr>
          <w:rFonts w:ascii="Times New Roman" w:hAnsi="Times New Roman" w:cs="Times New Roman"/>
          <w:sz w:val="24"/>
          <w:szCs w:val="24"/>
        </w:rPr>
        <w:t xml:space="preserve"> condition</w:t>
      </w:r>
      <w:r w:rsidR="00EB2726" w:rsidRPr="00EB2726">
        <w:rPr>
          <w:rFonts w:ascii="Times New Roman" w:hAnsi="Times New Roman" w:cs="Times New Roman"/>
          <w:sz w:val="24"/>
          <w:szCs w:val="24"/>
        </w:rPr>
        <w:t xml:space="preserve"> and fair value less costs of disposal (FVLCD).</w:t>
      </w:r>
      <w:r w:rsidR="00222929">
        <w:rPr>
          <w:rFonts w:ascii="Times New Roman" w:hAnsi="Times New Roman" w:cs="Times New Roman"/>
          <w:sz w:val="24"/>
          <w:szCs w:val="24"/>
        </w:rPr>
        <w:t xml:space="preserve"> After measurement of recoverable amount of cash </w:t>
      </w:r>
      <w:r w:rsidR="00B25CBF">
        <w:rPr>
          <w:rFonts w:ascii="Times New Roman" w:hAnsi="Times New Roman" w:cs="Times New Roman"/>
          <w:sz w:val="24"/>
          <w:szCs w:val="24"/>
        </w:rPr>
        <w:t>generating</w:t>
      </w:r>
      <w:r w:rsidR="00DC17B2">
        <w:rPr>
          <w:rFonts w:ascii="Times New Roman" w:hAnsi="Times New Roman" w:cs="Times New Roman"/>
          <w:sz w:val="24"/>
          <w:szCs w:val="24"/>
        </w:rPr>
        <w:t xml:space="preserve"> uni</w:t>
      </w:r>
      <w:r w:rsidR="00F82FC3">
        <w:rPr>
          <w:rFonts w:ascii="Times New Roman" w:hAnsi="Times New Roman" w:cs="Times New Roman"/>
          <w:sz w:val="24"/>
          <w:szCs w:val="24"/>
        </w:rPr>
        <w:t xml:space="preserve">t with reference to FVLCD, </w:t>
      </w:r>
      <w:r w:rsidR="00872E59">
        <w:rPr>
          <w:rFonts w:ascii="Times New Roman" w:hAnsi="Times New Roman" w:cs="Times New Roman"/>
          <w:sz w:val="24"/>
          <w:szCs w:val="24"/>
        </w:rPr>
        <w:t xml:space="preserve">the amount is further </w:t>
      </w:r>
      <w:r w:rsidR="00B17C37">
        <w:rPr>
          <w:rFonts w:ascii="Times New Roman" w:hAnsi="Times New Roman" w:cs="Times New Roman"/>
          <w:sz w:val="24"/>
          <w:szCs w:val="24"/>
        </w:rPr>
        <w:t>classified on the basis of value hierarchy. The company derives value from an active market based on fair value hierarchy as level 1. Forecast of future cash flows of a cash generating unit is taken into account as sales prices under existing sales contracts</w:t>
      </w:r>
      <w:r w:rsidR="00396862">
        <w:rPr>
          <w:rFonts w:ascii="Times New Roman" w:hAnsi="Times New Roman" w:cs="Times New Roman"/>
          <w:sz w:val="24"/>
          <w:szCs w:val="24"/>
        </w:rPr>
        <w:t xml:space="preserve"> (Vaish, A., Prabhakar, A., Mishra, H., Dayal, N., Singh, S., Goel, U., Coull, N., </w:t>
      </w:r>
      <w:r w:rsidR="00396862" w:rsidRPr="003A15BC">
        <w:rPr>
          <w:rFonts w:ascii="Times New Roman" w:hAnsi="Times New Roman" w:cs="Times New Roman"/>
          <w:sz w:val="24"/>
          <w:szCs w:val="24"/>
        </w:rPr>
        <w:t>2011)</w:t>
      </w:r>
      <w:r w:rsidR="00B17C37">
        <w:rPr>
          <w:rFonts w:ascii="Times New Roman" w:hAnsi="Times New Roman" w:cs="Times New Roman"/>
          <w:sz w:val="24"/>
          <w:szCs w:val="24"/>
        </w:rPr>
        <w:t xml:space="preserve">. Thus the process is susceptible </w:t>
      </w:r>
      <w:r w:rsidR="00D247E4">
        <w:rPr>
          <w:rFonts w:ascii="Times New Roman" w:hAnsi="Times New Roman" w:cs="Times New Roman"/>
          <w:sz w:val="24"/>
          <w:szCs w:val="24"/>
        </w:rPr>
        <w:t xml:space="preserve">to </w:t>
      </w:r>
      <w:r w:rsidR="008E4351">
        <w:rPr>
          <w:rFonts w:ascii="Times New Roman" w:hAnsi="Times New Roman" w:cs="Times New Roman"/>
          <w:sz w:val="24"/>
          <w:szCs w:val="24"/>
        </w:rPr>
        <w:t xml:space="preserve">volatility </w:t>
      </w:r>
      <w:r w:rsidR="002425C1">
        <w:rPr>
          <w:rFonts w:ascii="Times New Roman" w:hAnsi="Times New Roman" w:cs="Times New Roman"/>
          <w:sz w:val="24"/>
          <w:szCs w:val="24"/>
        </w:rPr>
        <w:t>in prices</w:t>
      </w:r>
      <w:r w:rsidR="008E4351">
        <w:rPr>
          <w:rFonts w:ascii="Times New Roman" w:hAnsi="Times New Roman" w:cs="Times New Roman"/>
          <w:sz w:val="24"/>
          <w:szCs w:val="24"/>
        </w:rPr>
        <w:t>.</w:t>
      </w:r>
      <w:r w:rsidR="002603BC">
        <w:rPr>
          <w:rFonts w:ascii="Times New Roman" w:hAnsi="Times New Roman" w:cs="Times New Roman"/>
          <w:sz w:val="24"/>
          <w:szCs w:val="24"/>
        </w:rPr>
        <w:t xml:space="preserve"> Huge changes in prices may result in material difference </w:t>
      </w:r>
      <w:r w:rsidR="002425C1">
        <w:rPr>
          <w:rFonts w:ascii="Times New Roman" w:hAnsi="Times New Roman" w:cs="Times New Roman"/>
          <w:sz w:val="24"/>
          <w:szCs w:val="24"/>
        </w:rPr>
        <w:t xml:space="preserve">in </w:t>
      </w:r>
      <w:r w:rsidR="00151B2F">
        <w:rPr>
          <w:rFonts w:ascii="Times New Roman" w:hAnsi="Times New Roman" w:cs="Times New Roman"/>
          <w:sz w:val="24"/>
          <w:szCs w:val="24"/>
        </w:rPr>
        <w:t>actual</w:t>
      </w:r>
      <w:r w:rsidR="002425C1">
        <w:rPr>
          <w:rFonts w:ascii="Times New Roman" w:hAnsi="Times New Roman" w:cs="Times New Roman"/>
          <w:sz w:val="24"/>
          <w:szCs w:val="24"/>
        </w:rPr>
        <w:t xml:space="preserve"> cash inflow over </w:t>
      </w:r>
      <w:r w:rsidR="00151B2F">
        <w:rPr>
          <w:rFonts w:ascii="Times New Roman" w:hAnsi="Times New Roman" w:cs="Times New Roman"/>
          <w:sz w:val="24"/>
          <w:szCs w:val="24"/>
        </w:rPr>
        <w:t xml:space="preserve">expected cash inflow. </w:t>
      </w:r>
    </w:p>
    <w:p w:rsidR="00EA4E81" w:rsidRDefault="00EA4E81" w:rsidP="007D0965">
      <w:pPr>
        <w:pStyle w:val="Body"/>
        <w:spacing w:line="360" w:lineRule="auto"/>
        <w:contextualSpacing/>
        <w:jc w:val="both"/>
        <w:rPr>
          <w:rFonts w:ascii="Times New Roman" w:hAnsi="Times New Roman" w:cs="Times New Roman"/>
          <w:sz w:val="24"/>
          <w:szCs w:val="24"/>
        </w:rPr>
      </w:pPr>
    </w:p>
    <w:p w:rsidR="00EA4E81" w:rsidRDefault="00EA4E81" w:rsidP="007D0965">
      <w:pPr>
        <w:pStyle w:val="Body"/>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discount </w:t>
      </w:r>
      <w:r w:rsidR="00A93D54">
        <w:rPr>
          <w:rFonts w:ascii="Times New Roman" w:hAnsi="Times New Roman" w:cs="Times New Roman"/>
          <w:sz w:val="24"/>
          <w:szCs w:val="24"/>
        </w:rPr>
        <w:t>rates applied to future cash inflows are</w:t>
      </w:r>
      <w:r w:rsidR="004510A5">
        <w:rPr>
          <w:rFonts w:ascii="Times New Roman" w:hAnsi="Times New Roman" w:cs="Times New Roman"/>
          <w:sz w:val="24"/>
          <w:szCs w:val="24"/>
        </w:rPr>
        <w:t xml:space="preserve"> an estimate of </w:t>
      </w:r>
      <w:r w:rsidR="007A12B8">
        <w:rPr>
          <w:rFonts w:ascii="Times New Roman" w:hAnsi="Times New Roman" w:cs="Times New Roman"/>
          <w:sz w:val="24"/>
          <w:szCs w:val="24"/>
        </w:rPr>
        <w:t xml:space="preserve">market rate which would be </w:t>
      </w:r>
      <w:r w:rsidR="00A93D54">
        <w:rPr>
          <w:rFonts w:ascii="Times New Roman" w:hAnsi="Times New Roman" w:cs="Times New Roman"/>
          <w:sz w:val="24"/>
          <w:szCs w:val="24"/>
        </w:rPr>
        <w:t>applicable</w:t>
      </w:r>
      <w:r w:rsidR="007A12B8">
        <w:rPr>
          <w:rFonts w:ascii="Times New Roman" w:hAnsi="Times New Roman" w:cs="Times New Roman"/>
          <w:sz w:val="24"/>
          <w:szCs w:val="24"/>
        </w:rPr>
        <w:t xml:space="preserve"> </w:t>
      </w:r>
      <w:r w:rsidR="00A93D54">
        <w:rPr>
          <w:rFonts w:ascii="Times New Roman" w:hAnsi="Times New Roman" w:cs="Times New Roman"/>
          <w:sz w:val="24"/>
          <w:szCs w:val="24"/>
        </w:rPr>
        <w:t>in regards to time value of money and specific risk</w:t>
      </w:r>
      <w:r w:rsidR="00C31F67">
        <w:rPr>
          <w:rFonts w:ascii="Times New Roman" w:hAnsi="Times New Roman" w:cs="Times New Roman"/>
          <w:sz w:val="24"/>
          <w:szCs w:val="24"/>
        </w:rPr>
        <w:t>s</w:t>
      </w:r>
      <w:r w:rsidR="00644245">
        <w:rPr>
          <w:rFonts w:ascii="Times New Roman" w:hAnsi="Times New Roman" w:cs="Times New Roman"/>
          <w:sz w:val="24"/>
          <w:szCs w:val="24"/>
        </w:rPr>
        <w:t xml:space="preserve"> </w:t>
      </w:r>
      <w:r w:rsidR="00283F20">
        <w:rPr>
          <w:rFonts w:ascii="Times New Roman" w:hAnsi="Times New Roman" w:cs="Times New Roman"/>
          <w:sz w:val="24"/>
          <w:szCs w:val="24"/>
        </w:rPr>
        <w:t>related</w:t>
      </w:r>
      <w:r w:rsidR="00644245">
        <w:rPr>
          <w:rFonts w:ascii="Times New Roman" w:hAnsi="Times New Roman" w:cs="Times New Roman"/>
          <w:sz w:val="24"/>
          <w:szCs w:val="24"/>
        </w:rPr>
        <w:t xml:space="preserve"> to future </w:t>
      </w:r>
      <w:r w:rsidR="00283F20">
        <w:rPr>
          <w:rFonts w:ascii="Times New Roman" w:hAnsi="Times New Roman" w:cs="Times New Roman"/>
          <w:sz w:val="24"/>
          <w:szCs w:val="24"/>
        </w:rPr>
        <w:t>cash</w:t>
      </w:r>
      <w:r w:rsidR="00644245">
        <w:rPr>
          <w:rFonts w:ascii="Times New Roman" w:hAnsi="Times New Roman" w:cs="Times New Roman"/>
          <w:sz w:val="24"/>
          <w:szCs w:val="24"/>
        </w:rPr>
        <w:t xml:space="preserve"> inflow from the asset. </w:t>
      </w:r>
      <w:r w:rsidR="00D01D9E">
        <w:rPr>
          <w:rFonts w:ascii="Times New Roman" w:hAnsi="Times New Roman" w:cs="Times New Roman"/>
          <w:sz w:val="24"/>
          <w:szCs w:val="24"/>
        </w:rPr>
        <w:t xml:space="preserve">The company generally uses </w:t>
      </w:r>
      <w:r w:rsidR="00EA202C">
        <w:rPr>
          <w:rFonts w:ascii="Times New Roman" w:hAnsi="Times New Roman" w:cs="Times New Roman"/>
          <w:sz w:val="24"/>
          <w:szCs w:val="24"/>
        </w:rPr>
        <w:t xml:space="preserve">average </w:t>
      </w:r>
      <w:r w:rsidR="0011668D">
        <w:rPr>
          <w:rFonts w:ascii="Times New Roman" w:hAnsi="Times New Roman" w:cs="Times New Roman"/>
          <w:sz w:val="24"/>
          <w:szCs w:val="24"/>
        </w:rPr>
        <w:t xml:space="preserve">cost </w:t>
      </w:r>
      <w:r w:rsidR="00EA202C">
        <w:rPr>
          <w:rFonts w:ascii="Times New Roman" w:hAnsi="Times New Roman" w:cs="Times New Roman"/>
          <w:sz w:val="24"/>
          <w:szCs w:val="24"/>
        </w:rPr>
        <w:t xml:space="preserve">of capital </w:t>
      </w:r>
      <w:r w:rsidR="007E4389">
        <w:rPr>
          <w:rFonts w:ascii="Times New Roman" w:hAnsi="Times New Roman" w:cs="Times New Roman"/>
          <w:sz w:val="24"/>
          <w:szCs w:val="24"/>
        </w:rPr>
        <w:t xml:space="preserve">for determination of discount rates after adjustments of risk profile of different projects </w:t>
      </w:r>
      <w:r w:rsidR="006439B7">
        <w:rPr>
          <w:rFonts w:ascii="Times New Roman" w:hAnsi="Times New Roman" w:cs="Times New Roman"/>
          <w:sz w:val="24"/>
          <w:szCs w:val="24"/>
        </w:rPr>
        <w:t xml:space="preserve">present in different countries. For feasibility studies, </w:t>
      </w:r>
      <w:r w:rsidR="006E38DA">
        <w:rPr>
          <w:rFonts w:ascii="Times New Roman" w:hAnsi="Times New Roman" w:cs="Times New Roman"/>
          <w:sz w:val="24"/>
          <w:szCs w:val="24"/>
        </w:rPr>
        <w:t xml:space="preserve">internal hurdle rate </w:t>
      </w:r>
      <w:r w:rsidR="00C40C79">
        <w:rPr>
          <w:rFonts w:ascii="Times New Roman" w:hAnsi="Times New Roman" w:cs="Times New Roman"/>
          <w:sz w:val="24"/>
          <w:szCs w:val="24"/>
        </w:rPr>
        <w:t>which</w:t>
      </w:r>
      <w:r w:rsidR="00FB1119">
        <w:rPr>
          <w:rFonts w:ascii="Times New Roman" w:hAnsi="Times New Roman" w:cs="Times New Roman"/>
          <w:sz w:val="24"/>
          <w:szCs w:val="24"/>
        </w:rPr>
        <w:t xml:space="preserve"> are higher than company’s weighted average cost of capital are used as estimates</w:t>
      </w:r>
      <w:r w:rsidR="00396862">
        <w:rPr>
          <w:rFonts w:ascii="Times New Roman" w:hAnsi="Times New Roman" w:cs="Times New Roman"/>
          <w:sz w:val="24"/>
          <w:szCs w:val="24"/>
        </w:rPr>
        <w:t xml:space="preserve"> (</w:t>
      </w:r>
      <w:r w:rsidR="00396862">
        <w:rPr>
          <w:rFonts w:ascii="Times New Roman" w:eastAsia="Times New Roman" w:hAnsi="Times New Roman" w:cs="Times New Roman"/>
          <w:sz w:val="24"/>
          <w:szCs w:val="24"/>
        </w:rPr>
        <w:t xml:space="preserve">Watson, R., </w:t>
      </w:r>
      <w:r w:rsidR="00396862" w:rsidRPr="005E7194">
        <w:rPr>
          <w:rFonts w:ascii="Times New Roman" w:eastAsia="Times New Roman" w:hAnsi="Times New Roman" w:cs="Times New Roman"/>
          <w:sz w:val="24"/>
          <w:szCs w:val="24"/>
        </w:rPr>
        <w:t>2010)</w:t>
      </w:r>
      <w:r w:rsidR="00C40C79">
        <w:rPr>
          <w:rFonts w:ascii="Times New Roman" w:hAnsi="Times New Roman" w:cs="Times New Roman"/>
          <w:sz w:val="24"/>
          <w:szCs w:val="24"/>
        </w:rPr>
        <w:t xml:space="preserve">. </w:t>
      </w:r>
      <w:r w:rsidR="00882CC6">
        <w:rPr>
          <w:rFonts w:ascii="Times New Roman" w:hAnsi="Times New Roman" w:cs="Times New Roman"/>
          <w:sz w:val="24"/>
          <w:szCs w:val="24"/>
        </w:rPr>
        <w:t xml:space="preserve">Thus, under each different scenario, </w:t>
      </w:r>
      <w:r w:rsidR="002B7A57">
        <w:rPr>
          <w:rFonts w:ascii="Times New Roman" w:hAnsi="Times New Roman" w:cs="Times New Roman"/>
          <w:sz w:val="24"/>
          <w:szCs w:val="24"/>
        </w:rPr>
        <w:t xml:space="preserve">different </w:t>
      </w:r>
      <w:r w:rsidR="00B95130">
        <w:rPr>
          <w:rFonts w:ascii="Times New Roman" w:hAnsi="Times New Roman" w:cs="Times New Roman"/>
          <w:sz w:val="24"/>
          <w:szCs w:val="24"/>
        </w:rPr>
        <w:t>processes</w:t>
      </w:r>
      <w:r w:rsidR="002B7A57">
        <w:rPr>
          <w:rFonts w:ascii="Times New Roman" w:hAnsi="Times New Roman" w:cs="Times New Roman"/>
          <w:sz w:val="24"/>
          <w:szCs w:val="24"/>
        </w:rPr>
        <w:t xml:space="preserve"> are used for achievement of estimates. </w:t>
      </w:r>
      <w:r w:rsidR="006A58EE">
        <w:rPr>
          <w:rFonts w:ascii="Times New Roman" w:hAnsi="Times New Roman" w:cs="Times New Roman"/>
          <w:sz w:val="24"/>
          <w:szCs w:val="24"/>
        </w:rPr>
        <w:t xml:space="preserve">The reason for use of different processes </w:t>
      </w:r>
      <w:r w:rsidR="00A0744A">
        <w:rPr>
          <w:rFonts w:ascii="Times New Roman" w:hAnsi="Times New Roman" w:cs="Times New Roman"/>
          <w:sz w:val="24"/>
          <w:szCs w:val="24"/>
        </w:rPr>
        <w:t xml:space="preserve">is because </w:t>
      </w:r>
      <w:r w:rsidR="00C2620A">
        <w:rPr>
          <w:rFonts w:ascii="Times New Roman" w:hAnsi="Times New Roman" w:cs="Times New Roman"/>
          <w:sz w:val="24"/>
          <w:szCs w:val="24"/>
        </w:rPr>
        <w:t xml:space="preserve">different </w:t>
      </w:r>
      <w:r w:rsidR="00FF2C7F">
        <w:rPr>
          <w:rFonts w:ascii="Times New Roman" w:hAnsi="Times New Roman" w:cs="Times New Roman"/>
          <w:sz w:val="24"/>
          <w:szCs w:val="24"/>
        </w:rPr>
        <w:t>assets</w:t>
      </w:r>
      <w:r w:rsidR="00C2620A">
        <w:rPr>
          <w:rFonts w:ascii="Times New Roman" w:hAnsi="Times New Roman" w:cs="Times New Roman"/>
          <w:sz w:val="24"/>
          <w:szCs w:val="24"/>
        </w:rPr>
        <w:t xml:space="preserve"> and liabilities have their </w:t>
      </w:r>
      <w:r w:rsidR="00806A67">
        <w:rPr>
          <w:rFonts w:ascii="Times New Roman" w:hAnsi="Times New Roman" w:cs="Times New Roman"/>
          <w:sz w:val="24"/>
          <w:szCs w:val="24"/>
        </w:rPr>
        <w:t>own individual risk</w:t>
      </w:r>
      <w:r w:rsidR="0061713D">
        <w:rPr>
          <w:rFonts w:ascii="Times New Roman" w:hAnsi="Times New Roman" w:cs="Times New Roman"/>
          <w:sz w:val="24"/>
          <w:szCs w:val="24"/>
        </w:rPr>
        <w:t>, measured</w:t>
      </w:r>
      <w:r w:rsidR="00FF2C7F">
        <w:rPr>
          <w:rFonts w:ascii="Times New Roman" w:hAnsi="Times New Roman" w:cs="Times New Roman"/>
          <w:sz w:val="24"/>
          <w:szCs w:val="24"/>
        </w:rPr>
        <w:t xml:space="preserve"> in the form of standard deviation</w:t>
      </w:r>
      <w:r w:rsidR="00396862">
        <w:rPr>
          <w:rFonts w:ascii="Times New Roman" w:hAnsi="Times New Roman" w:cs="Times New Roman"/>
          <w:sz w:val="24"/>
          <w:szCs w:val="24"/>
        </w:rPr>
        <w:t xml:space="preserve"> (</w:t>
      </w:r>
      <w:r w:rsidR="00396862">
        <w:rPr>
          <w:rFonts w:ascii="Times New Roman" w:eastAsia="Times New Roman" w:hAnsi="Times New Roman" w:cs="Times New Roman"/>
          <w:sz w:val="24"/>
          <w:szCs w:val="24"/>
        </w:rPr>
        <w:t xml:space="preserve">Wang, M., Kong, D., </w:t>
      </w:r>
      <w:r w:rsidR="00396862" w:rsidRPr="004F28AD">
        <w:rPr>
          <w:rFonts w:ascii="Times New Roman" w:eastAsia="Times New Roman" w:hAnsi="Times New Roman" w:cs="Times New Roman"/>
          <w:sz w:val="24"/>
          <w:szCs w:val="24"/>
        </w:rPr>
        <w:t>2011)</w:t>
      </w:r>
      <w:r w:rsidR="00FF2C7F">
        <w:rPr>
          <w:rFonts w:ascii="Times New Roman" w:hAnsi="Times New Roman" w:cs="Times New Roman"/>
          <w:sz w:val="24"/>
          <w:szCs w:val="24"/>
        </w:rPr>
        <w:t xml:space="preserve">. </w:t>
      </w:r>
      <w:r w:rsidR="00806A67">
        <w:rPr>
          <w:rFonts w:ascii="Times New Roman" w:hAnsi="Times New Roman" w:cs="Times New Roman"/>
          <w:sz w:val="24"/>
          <w:szCs w:val="24"/>
        </w:rPr>
        <w:t xml:space="preserve"> </w:t>
      </w:r>
      <w:r w:rsidR="0061713D">
        <w:rPr>
          <w:rFonts w:ascii="Times New Roman" w:hAnsi="Times New Roman" w:cs="Times New Roman"/>
          <w:sz w:val="24"/>
          <w:szCs w:val="24"/>
        </w:rPr>
        <w:t xml:space="preserve">Rio Tinto understands that assets </w:t>
      </w:r>
      <w:r w:rsidR="00A4064F">
        <w:rPr>
          <w:rFonts w:ascii="Times New Roman" w:hAnsi="Times New Roman" w:cs="Times New Roman"/>
          <w:sz w:val="24"/>
          <w:szCs w:val="24"/>
        </w:rPr>
        <w:t xml:space="preserve">valuation is a critical activity involving </w:t>
      </w:r>
      <w:r w:rsidR="006C05FD">
        <w:rPr>
          <w:rFonts w:ascii="Times New Roman" w:hAnsi="Times New Roman" w:cs="Times New Roman"/>
          <w:sz w:val="24"/>
          <w:szCs w:val="24"/>
        </w:rPr>
        <w:t>judgments</w:t>
      </w:r>
      <w:r w:rsidR="00A4064F">
        <w:rPr>
          <w:rFonts w:ascii="Times New Roman" w:hAnsi="Times New Roman" w:cs="Times New Roman"/>
          <w:sz w:val="24"/>
          <w:szCs w:val="24"/>
        </w:rPr>
        <w:t xml:space="preserve">, skills </w:t>
      </w:r>
      <w:r w:rsidR="006C05FD">
        <w:rPr>
          <w:rFonts w:ascii="Times New Roman" w:hAnsi="Times New Roman" w:cs="Times New Roman"/>
          <w:sz w:val="24"/>
          <w:szCs w:val="24"/>
        </w:rPr>
        <w:t>and</w:t>
      </w:r>
      <w:r w:rsidR="00A4064F">
        <w:rPr>
          <w:rFonts w:ascii="Times New Roman" w:hAnsi="Times New Roman" w:cs="Times New Roman"/>
          <w:sz w:val="24"/>
          <w:szCs w:val="24"/>
        </w:rPr>
        <w:t xml:space="preserve"> expertise.  </w:t>
      </w:r>
      <w:r w:rsidR="00410956">
        <w:rPr>
          <w:rFonts w:ascii="Times New Roman" w:hAnsi="Times New Roman" w:cs="Times New Roman"/>
          <w:sz w:val="24"/>
          <w:szCs w:val="24"/>
        </w:rPr>
        <w:t xml:space="preserve">Hence, use of different process in the current business environment would </w:t>
      </w:r>
      <w:r w:rsidR="00BD487E">
        <w:rPr>
          <w:rFonts w:ascii="Times New Roman" w:hAnsi="Times New Roman" w:cs="Times New Roman"/>
          <w:sz w:val="24"/>
          <w:szCs w:val="24"/>
        </w:rPr>
        <w:t>enable</w:t>
      </w:r>
      <w:r w:rsidR="00410956">
        <w:rPr>
          <w:rFonts w:ascii="Times New Roman" w:hAnsi="Times New Roman" w:cs="Times New Roman"/>
          <w:sz w:val="24"/>
          <w:szCs w:val="24"/>
        </w:rPr>
        <w:t xml:space="preserve"> the company to arrive at fair value </w:t>
      </w:r>
      <w:r w:rsidR="002A1C11">
        <w:rPr>
          <w:rFonts w:ascii="Times New Roman" w:hAnsi="Times New Roman" w:cs="Times New Roman"/>
          <w:sz w:val="24"/>
          <w:szCs w:val="24"/>
        </w:rPr>
        <w:t xml:space="preserve">of assets </w:t>
      </w:r>
      <w:r w:rsidR="00410956">
        <w:rPr>
          <w:rFonts w:ascii="Times New Roman" w:hAnsi="Times New Roman" w:cs="Times New Roman"/>
          <w:sz w:val="24"/>
          <w:szCs w:val="24"/>
        </w:rPr>
        <w:t xml:space="preserve">closer to </w:t>
      </w:r>
      <w:r w:rsidR="00BD487E">
        <w:rPr>
          <w:rFonts w:ascii="Times New Roman" w:hAnsi="Times New Roman" w:cs="Times New Roman"/>
          <w:sz w:val="24"/>
          <w:szCs w:val="24"/>
        </w:rPr>
        <w:t>market</w:t>
      </w:r>
      <w:r w:rsidR="00410956">
        <w:rPr>
          <w:rFonts w:ascii="Times New Roman" w:hAnsi="Times New Roman" w:cs="Times New Roman"/>
          <w:sz w:val="24"/>
          <w:szCs w:val="24"/>
        </w:rPr>
        <w:t xml:space="preserve"> value. </w:t>
      </w:r>
      <w:r w:rsidR="002A1C11">
        <w:rPr>
          <w:rFonts w:ascii="Times New Roman" w:hAnsi="Times New Roman" w:cs="Times New Roman"/>
          <w:sz w:val="24"/>
          <w:szCs w:val="24"/>
        </w:rPr>
        <w:t xml:space="preserve">Thus, each </w:t>
      </w:r>
      <w:r w:rsidR="00171EA0">
        <w:rPr>
          <w:rFonts w:ascii="Times New Roman" w:hAnsi="Times New Roman" w:cs="Times New Roman"/>
          <w:sz w:val="24"/>
          <w:szCs w:val="24"/>
        </w:rPr>
        <w:t>process</w:t>
      </w:r>
      <w:r w:rsidR="002A1C11">
        <w:rPr>
          <w:rFonts w:ascii="Times New Roman" w:hAnsi="Times New Roman" w:cs="Times New Roman"/>
          <w:sz w:val="24"/>
          <w:szCs w:val="24"/>
        </w:rPr>
        <w:t xml:space="preserve"> has its own significance in estimation of </w:t>
      </w:r>
      <w:r w:rsidR="00171EA0">
        <w:rPr>
          <w:rFonts w:ascii="Times New Roman" w:hAnsi="Times New Roman" w:cs="Times New Roman"/>
          <w:sz w:val="24"/>
          <w:szCs w:val="24"/>
        </w:rPr>
        <w:t xml:space="preserve">achievement. </w:t>
      </w:r>
    </w:p>
    <w:p w:rsidR="00222929" w:rsidRDefault="00222929" w:rsidP="007D0965">
      <w:pPr>
        <w:pStyle w:val="Body"/>
        <w:spacing w:line="360" w:lineRule="auto"/>
        <w:contextualSpacing/>
        <w:jc w:val="both"/>
        <w:rPr>
          <w:rFonts w:ascii="Times New Roman" w:hAnsi="Times New Roman" w:cs="Times New Roman"/>
          <w:sz w:val="24"/>
          <w:szCs w:val="24"/>
        </w:rPr>
      </w:pPr>
    </w:p>
    <w:p w:rsidR="00DB3B31" w:rsidRPr="003E481B" w:rsidRDefault="00DB3B31" w:rsidP="007D0965">
      <w:pPr>
        <w:pStyle w:val="Heading1"/>
        <w:spacing w:line="360" w:lineRule="auto"/>
        <w:rPr>
          <w:rFonts w:ascii="Times New Roman" w:hAnsi="Times New Roman" w:cs="Times New Roman"/>
          <w:sz w:val="24"/>
          <w:szCs w:val="24"/>
        </w:rPr>
      </w:pPr>
    </w:p>
    <w:p w:rsidR="00B334F3" w:rsidRDefault="00B334F3" w:rsidP="007D0965">
      <w:pPr>
        <w:pStyle w:val="Heading1"/>
        <w:spacing w:line="360" w:lineRule="auto"/>
      </w:pPr>
      <w:bookmarkStart w:id="8" w:name="_Toc450577195"/>
      <w:r>
        <w:t>Conclusion</w:t>
      </w:r>
      <w:bookmarkEnd w:id="8"/>
    </w:p>
    <w:p w:rsidR="00B334F3" w:rsidRDefault="00171EA0" w:rsidP="007D0965">
      <w:pPr>
        <w:pStyle w:val="Body"/>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Thus, it can be concluded that </w:t>
      </w:r>
      <w:r w:rsidR="00547C33">
        <w:rPr>
          <w:rFonts w:ascii="Times New Roman" w:hAnsi="Times New Roman" w:cs="Times New Roman"/>
          <w:sz w:val="24"/>
          <w:szCs w:val="24"/>
        </w:rPr>
        <w:t xml:space="preserve">accounting concepts play an important role in </w:t>
      </w:r>
      <w:r w:rsidR="00B155E8">
        <w:rPr>
          <w:rFonts w:ascii="Times New Roman" w:hAnsi="Times New Roman" w:cs="Times New Roman"/>
          <w:sz w:val="24"/>
          <w:szCs w:val="24"/>
        </w:rPr>
        <w:t>preparation</w:t>
      </w:r>
      <w:r w:rsidR="00547C33">
        <w:rPr>
          <w:rFonts w:ascii="Times New Roman" w:hAnsi="Times New Roman" w:cs="Times New Roman"/>
          <w:sz w:val="24"/>
          <w:szCs w:val="24"/>
        </w:rPr>
        <w:t xml:space="preserve"> of financial statements. </w:t>
      </w:r>
      <w:r w:rsidR="00B155E8">
        <w:rPr>
          <w:rFonts w:ascii="Times New Roman" w:hAnsi="Times New Roman" w:cs="Times New Roman"/>
          <w:sz w:val="24"/>
          <w:szCs w:val="24"/>
        </w:rPr>
        <w:t xml:space="preserve">Moreover, Rio Tinto uses different accounting </w:t>
      </w:r>
      <w:r w:rsidR="0090478A">
        <w:rPr>
          <w:rFonts w:ascii="Times New Roman" w:hAnsi="Times New Roman" w:cs="Times New Roman"/>
          <w:sz w:val="24"/>
          <w:szCs w:val="24"/>
        </w:rPr>
        <w:t>methods</w:t>
      </w:r>
      <w:r w:rsidR="00B155E8">
        <w:rPr>
          <w:rFonts w:ascii="Times New Roman" w:hAnsi="Times New Roman" w:cs="Times New Roman"/>
          <w:sz w:val="24"/>
          <w:szCs w:val="24"/>
        </w:rPr>
        <w:t xml:space="preserve"> </w:t>
      </w:r>
      <w:r w:rsidR="00F32F6D">
        <w:rPr>
          <w:rFonts w:ascii="Times New Roman" w:hAnsi="Times New Roman" w:cs="Times New Roman"/>
          <w:sz w:val="24"/>
          <w:szCs w:val="24"/>
        </w:rPr>
        <w:t xml:space="preserve">including </w:t>
      </w:r>
      <w:r w:rsidR="002F6450">
        <w:rPr>
          <w:rFonts w:ascii="Times New Roman" w:hAnsi="Times New Roman" w:cs="Times New Roman"/>
          <w:sz w:val="24"/>
          <w:szCs w:val="24"/>
        </w:rPr>
        <w:t xml:space="preserve">unit of production, </w:t>
      </w:r>
      <w:r w:rsidR="00864857">
        <w:rPr>
          <w:rFonts w:ascii="Times New Roman" w:hAnsi="Times New Roman" w:cs="Times New Roman"/>
          <w:sz w:val="24"/>
          <w:szCs w:val="24"/>
        </w:rPr>
        <w:t>straight</w:t>
      </w:r>
      <w:r w:rsidR="002F6450">
        <w:rPr>
          <w:rFonts w:ascii="Times New Roman" w:hAnsi="Times New Roman" w:cs="Times New Roman"/>
          <w:sz w:val="24"/>
          <w:szCs w:val="24"/>
        </w:rPr>
        <w:t xml:space="preserve"> line, </w:t>
      </w:r>
      <w:r w:rsidR="00864857">
        <w:rPr>
          <w:rFonts w:ascii="Times New Roman" w:hAnsi="Times New Roman" w:cs="Times New Roman"/>
          <w:sz w:val="24"/>
          <w:szCs w:val="24"/>
        </w:rPr>
        <w:t>impartment</w:t>
      </w:r>
      <w:r w:rsidR="002F6450">
        <w:rPr>
          <w:rFonts w:ascii="Times New Roman" w:hAnsi="Times New Roman" w:cs="Times New Roman"/>
          <w:sz w:val="24"/>
          <w:szCs w:val="24"/>
        </w:rPr>
        <w:t xml:space="preserve"> charges and </w:t>
      </w:r>
      <w:r w:rsidR="00864857">
        <w:rPr>
          <w:rFonts w:ascii="Times New Roman" w:hAnsi="Times New Roman" w:cs="Times New Roman"/>
          <w:sz w:val="24"/>
          <w:szCs w:val="24"/>
        </w:rPr>
        <w:t>determination</w:t>
      </w:r>
      <w:r w:rsidR="002F6450">
        <w:rPr>
          <w:rFonts w:ascii="Times New Roman" w:hAnsi="Times New Roman" w:cs="Times New Roman"/>
          <w:sz w:val="24"/>
          <w:szCs w:val="24"/>
        </w:rPr>
        <w:t xml:space="preserve"> of iron ore estimate. </w:t>
      </w:r>
      <w:r w:rsidR="00EF1A63">
        <w:rPr>
          <w:rFonts w:ascii="Times New Roman" w:hAnsi="Times New Roman" w:cs="Times New Roman"/>
          <w:sz w:val="24"/>
          <w:szCs w:val="24"/>
        </w:rPr>
        <w:t xml:space="preserve">The company faces significant asset measurement problem </w:t>
      </w:r>
      <w:r w:rsidR="00026959">
        <w:rPr>
          <w:rFonts w:ascii="Times New Roman" w:hAnsi="Times New Roman" w:cs="Times New Roman"/>
          <w:sz w:val="24"/>
          <w:szCs w:val="24"/>
        </w:rPr>
        <w:t xml:space="preserve">due to </w:t>
      </w:r>
      <w:r w:rsidR="006578D1">
        <w:rPr>
          <w:rFonts w:ascii="Times New Roman" w:hAnsi="Times New Roman" w:cs="Times New Roman"/>
          <w:sz w:val="24"/>
          <w:szCs w:val="24"/>
        </w:rPr>
        <w:t>involvement</w:t>
      </w:r>
      <w:r w:rsidR="00FB3506">
        <w:rPr>
          <w:rFonts w:ascii="Times New Roman" w:hAnsi="Times New Roman" w:cs="Times New Roman"/>
          <w:sz w:val="24"/>
          <w:szCs w:val="24"/>
        </w:rPr>
        <w:t xml:space="preserve"> of estimation</w:t>
      </w:r>
      <w:r w:rsidR="006578D1">
        <w:rPr>
          <w:rFonts w:ascii="Times New Roman" w:hAnsi="Times New Roman" w:cs="Times New Roman"/>
          <w:sz w:val="24"/>
          <w:szCs w:val="24"/>
        </w:rPr>
        <w:t xml:space="preserve"> of</w:t>
      </w:r>
      <w:r w:rsidR="00FB3506">
        <w:rPr>
          <w:rFonts w:ascii="Times New Roman" w:hAnsi="Times New Roman" w:cs="Times New Roman"/>
          <w:sz w:val="24"/>
          <w:szCs w:val="24"/>
        </w:rPr>
        <w:t xml:space="preserve"> future cash inflow and discount rate. </w:t>
      </w:r>
      <w:r w:rsidR="00E401CF">
        <w:rPr>
          <w:rFonts w:ascii="Times New Roman" w:hAnsi="Times New Roman" w:cs="Times New Roman"/>
          <w:sz w:val="24"/>
          <w:szCs w:val="24"/>
        </w:rPr>
        <w:t>In addition, Rio Tinto uses different processes</w:t>
      </w:r>
      <w:r w:rsidR="00BC3339">
        <w:rPr>
          <w:rFonts w:ascii="Times New Roman" w:hAnsi="Times New Roman" w:cs="Times New Roman"/>
          <w:sz w:val="24"/>
          <w:szCs w:val="24"/>
        </w:rPr>
        <w:t xml:space="preserve"> for asset valuation</w:t>
      </w:r>
      <w:r w:rsidR="00E401CF">
        <w:rPr>
          <w:rFonts w:ascii="Times New Roman" w:hAnsi="Times New Roman" w:cs="Times New Roman"/>
          <w:sz w:val="24"/>
          <w:szCs w:val="24"/>
        </w:rPr>
        <w:t xml:space="preserve"> based </w:t>
      </w:r>
      <w:r w:rsidR="003E61EE">
        <w:rPr>
          <w:rFonts w:ascii="Times New Roman" w:hAnsi="Times New Roman" w:cs="Times New Roman"/>
          <w:sz w:val="24"/>
          <w:szCs w:val="24"/>
        </w:rPr>
        <w:t xml:space="preserve">on different </w:t>
      </w:r>
      <w:r w:rsidR="00BC3339">
        <w:rPr>
          <w:rFonts w:ascii="Times New Roman" w:hAnsi="Times New Roman" w:cs="Times New Roman"/>
          <w:sz w:val="24"/>
          <w:szCs w:val="24"/>
        </w:rPr>
        <w:t>parameters</w:t>
      </w:r>
      <w:r w:rsidR="00752F88">
        <w:rPr>
          <w:rFonts w:ascii="Times New Roman" w:hAnsi="Times New Roman" w:cs="Times New Roman"/>
          <w:sz w:val="24"/>
          <w:szCs w:val="24"/>
        </w:rPr>
        <w:t xml:space="preserve"> for achievement of estimates. </w:t>
      </w:r>
    </w:p>
    <w:p w:rsidR="00EC2F5D" w:rsidRDefault="00EC2F5D" w:rsidP="007D0965">
      <w:pPr>
        <w:pStyle w:val="Body"/>
        <w:spacing w:line="360" w:lineRule="auto"/>
        <w:contextualSpacing/>
        <w:jc w:val="both"/>
        <w:rPr>
          <w:rFonts w:ascii="Times New Roman" w:hAnsi="Times New Roman" w:cs="Times New Roman"/>
          <w:sz w:val="24"/>
          <w:szCs w:val="24"/>
        </w:rPr>
      </w:pPr>
    </w:p>
    <w:p w:rsidR="00EC2F5D" w:rsidRDefault="00EC2F5D" w:rsidP="007D0965">
      <w:pPr>
        <w:pStyle w:val="Body"/>
        <w:spacing w:line="360" w:lineRule="auto"/>
        <w:contextualSpacing/>
        <w:jc w:val="both"/>
        <w:rPr>
          <w:rFonts w:ascii="Times New Roman" w:hAnsi="Times New Roman" w:cs="Times New Roman"/>
          <w:sz w:val="24"/>
          <w:szCs w:val="24"/>
        </w:rPr>
      </w:pPr>
    </w:p>
    <w:p w:rsidR="00EC2F5D" w:rsidRDefault="00EC2F5D" w:rsidP="007D0965">
      <w:pPr>
        <w:pStyle w:val="Body"/>
        <w:spacing w:line="360" w:lineRule="auto"/>
        <w:contextualSpacing/>
        <w:jc w:val="both"/>
        <w:rPr>
          <w:rFonts w:ascii="Times New Roman" w:hAnsi="Times New Roman" w:cs="Times New Roman"/>
          <w:sz w:val="24"/>
          <w:szCs w:val="24"/>
        </w:rPr>
      </w:pPr>
    </w:p>
    <w:p w:rsidR="00EC2F5D" w:rsidRDefault="00EC2F5D" w:rsidP="007D0965">
      <w:pPr>
        <w:pStyle w:val="Body"/>
        <w:spacing w:line="360" w:lineRule="auto"/>
        <w:contextualSpacing/>
        <w:jc w:val="both"/>
        <w:rPr>
          <w:rFonts w:ascii="Times New Roman" w:hAnsi="Times New Roman" w:cs="Times New Roman"/>
          <w:sz w:val="24"/>
          <w:szCs w:val="24"/>
        </w:rPr>
      </w:pPr>
    </w:p>
    <w:p w:rsidR="00496DB4" w:rsidRDefault="00496DB4" w:rsidP="007D0965">
      <w:pPr>
        <w:pStyle w:val="Body"/>
        <w:spacing w:line="360" w:lineRule="auto"/>
        <w:contextualSpacing/>
        <w:jc w:val="both"/>
        <w:rPr>
          <w:rFonts w:ascii="Times New Roman" w:hAnsi="Times New Roman" w:cs="Times New Roman"/>
          <w:sz w:val="24"/>
          <w:szCs w:val="24"/>
        </w:rPr>
      </w:pPr>
    </w:p>
    <w:p w:rsidR="00496DB4" w:rsidRDefault="00496DB4" w:rsidP="007D0965">
      <w:pPr>
        <w:pStyle w:val="Body"/>
        <w:spacing w:line="360" w:lineRule="auto"/>
        <w:contextualSpacing/>
        <w:jc w:val="both"/>
        <w:rPr>
          <w:rFonts w:ascii="Times New Roman" w:hAnsi="Times New Roman" w:cs="Times New Roman"/>
          <w:sz w:val="24"/>
          <w:szCs w:val="24"/>
        </w:rPr>
      </w:pPr>
    </w:p>
    <w:p w:rsidR="00496DB4" w:rsidRDefault="00496DB4" w:rsidP="007D0965">
      <w:pPr>
        <w:pStyle w:val="Body"/>
        <w:spacing w:line="360" w:lineRule="auto"/>
        <w:contextualSpacing/>
        <w:jc w:val="both"/>
        <w:rPr>
          <w:rFonts w:ascii="Times New Roman" w:hAnsi="Times New Roman" w:cs="Times New Roman"/>
          <w:sz w:val="24"/>
          <w:szCs w:val="24"/>
        </w:rPr>
      </w:pPr>
    </w:p>
    <w:p w:rsidR="00496DB4" w:rsidRDefault="00496DB4" w:rsidP="007D0965">
      <w:pPr>
        <w:pStyle w:val="Body"/>
        <w:spacing w:line="360" w:lineRule="auto"/>
        <w:contextualSpacing/>
        <w:jc w:val="both"/>
        <w:rPr>
          <w:rFonts w:ascii="Times New Roman" w:hAnsi="Times New Roman" w:cs="Times New Roman"/>
          <w:sz w:val="24"/>
          <w:szCs w:val="24"/>
        </w:rPr>
      </w:pPr>
    </w:p>
    <w:p w:rsidR="00496DB4" w:rsidRDefault="00496DB4" w:rsidP="007D0965">
      <w:pPr>
        <w:pStyle w:val="Body"/>
        <w:spacing w:line="360" w:lineRule="auto"/>
        <w:contextualSpacing/>
        <w:jc w:val="both"/>
        <w:rPr>
          <w:rFonts w:ascii="Times New Roman" w:hAnsi="Times New Roman" w:cs="Times New Roman"/>
          <w:sz w:val="24"/>
          <w:szCs w:val="24"/>
        </w:rPr>
      </w:pPr>
    </w:p>
    <w:p w:rsidR="00496DB4" w:rsidRDefault="00496DB4" w:rsidP="007D0965">
      <w:pPr>
        <w:pStyle w:val="Body"/>
        <w:spacing w:line="360" w:lineRule="auto"/>
        <w:contextualSpacing/>
        <w:jc w:val="both"/>
        <w:rPr>
          <w:rFonts w:ascii="Times New Roman" w:hAnsi="Times New Roman" w:cs="Times New Roman"/>
          <w:sz w:val="24"/>
          <w:szCs w:val="24"/>
        </w:rPr>
      </w:pPr>
    </w:p>
    <w:p w:rsidR="00496DB4" w:rsidRDefault="00496DB4" w:rsidP="007D0965">
      <w:pPr>
        <w:pStyle w:val="Body"/>
        <w:spacing w:line="360" w:lineRule="auto"/>
        <w:contextualSpacing/>
        <w:jc w:val="both"/>
        <w:rPr>
          <w:rFonts w:ascii="Times New Roman" w:hAnsi="Times New Roman" w:cs="Times New Roman"/>
          <w:sz w:val="24"/>
          <w:szCs w:val="24"/>
        </w:rPr>
      </w:pPr>
    </w:p>
    <w:p w:rsidR="00496DB4" w:rsidRDefault="00496DB4" w:rsidP="007D0965">
      <w:pPr>
        <w:pStyle w:val="Body"/>
        <w:spacing w:line="360" w:lineRule="auto"/>
        <w:contextualSpacing/>
        <w:jc w:val="both"/>
        <w:rPr>
          <w:rFonts w:ascii="Times New Roman" w:hAnsi="Times New Roman" w:cs="Times New Roman"/>
          <w:sz w:val="24"/>
          <w:szCs w:val="24"/>
        </w:rPr>
      </w:pPr>
    </w:p>
    <w:p w:rsidR="00496DB4" w:rsidRDefault="00496DB4" w:rsidP="007D0965">
      <w:pPr>
        <w:pStyle w:val="Body"/>
        <w:spacing w:line="360" w:lineRule="auto"/>
        <w:contextualSpacing/>
        <w:jc w:val="both"/>
        <w:rPr>
          <w:rFonts w:ascii="Times New Roman" w:hAnsi="Times New Roman" w:cs="Times New Roman"/>
          <w:sz w:val="24"/>
          <w:szCs w:val="24"/>
        </w:rPr>
      </w:pPr>
    </w:p>
    <w:p w:rsidR="00496DB4" w:rsidRDefault="00496DB4" w:rsidP="007D0965">
      <w:pPr>
        <w:pStyle w:val="Body"/>
        <w:spacing w:line="360" w:lineRule="auto"/>
        <w:contextualSpacing/>
        <w:jc w:val="both"/>
        <w:rPr>
          <w:rFonts w:ascii="Times New Roman" w:hAnsi="Times New Roman" w:cs="Times New Roman"/>
          <w:sz w:val="24"/>
          <w:szCs w:val="24"/>
        </w:rPr>
      </w:pPr>
    </w:p>
    <w:p w:rsidR="00496DB4" w:rsidRDefault="00496DB4" w:rsidP="007D0965">
      <w:pPr>
        <w:pStyle w:val="Body"/>
        <w:spacing w:line="360" w:lineRule="auto"/>
        <w:contextualSpacing/>
        <w:jc w:val="both"/>
        <w:rPr>
          <w:rFonts w:ascii="Times New Roman" w:hAnsi="Times New Roman" w:cs="Times New Roman"/>
          <w:sz w:val="24"/>
          <w:szCs w:val="24"/>
        </w:rPr>
      </w:pPr>
    </w:p>
    <w:p w:rsidR="00496DB4" w:rsidRDefault="00496DB4" w:rsidP="007D0965">
      <w:pPr>
        <w:pStyle w:val="Body"/>
        <w:spacing w:line="360" w:lineRule="auto"/>
        <w:contextualSpacing/>
        <w:jc w:val="both"/>
        <w:rPr>
          <w:rFonts w:ascii="Times New Roman" w:hAnsi="Times New Roman" w:cs="Times New Roman"/>
          <w:sz w:val="24"/>
          <w:szCs w:val="24"/>
        </w:rPr>
      </w:pPr>
    </w:p>
    <w:p w:rsidR="00EC2F5D" w:rsidRDefault="00EC2F5D" w:rsidP="007D0965">
      <w:pPr>
        <w:pStyle w:val="Body"/>
        <w:spacing w:line="360" w:lineRule="auto"/>
        <w:contextualSpacing/>
        <w:jc w:val="both"/>
        <w:rPr>
          <w:rFonts w:ascii="Times New Roman" w:hAnsi="Times New Roman" w:cs="Times New Roman"/>
          <w:sz w:val="24"/>
          <w:szCs w:val="24"/>
        </w:rPr>
      </w:pPr>
    </w:p>
    <w:p w:rsidR="00EC2F5D" w:rsidRDefault="00EC2F5D" w:rsidP="007D0965">
      <w:pPr>
        <w:pStyle w:val="Body"/>
        <w:spacing w:line="360" w:lineRule="auto"/>
        <w:contextualSpacing/>
        <w:jc w:val="both"/>
        <w:rPr>
          <w:rFonts w:ascii="Times New Roman" w:hAnsi="Times New Roman" w:cs="Times New Roman"/>
          <w:sz w:val="24"/>
          <w:szCs w:val="24"/>
        </w:rPr>
      </w:pPr>
    </w:p>
    <w:p w:rsidR="00EC2F5D" w:rsidRDefault="00EC2F5D" w:rsidP="007D0965">
      <w:pPr>
        <w:pStyle w:val="Body"/>
        <w:spacing w:line="360" w:lineRule="auto"/>
        <w:contextualSpacing/>
        <w:jc w:val="both"/>
        <w:rPr>
          <w:rFonts w:ascii="Times New Roman" w:hAnsi="Times New Roman" w:cs="Times New Roman"/>
          <w:sz w:val="24"/>
          <w:szCs w:val="24"/>
        </w:rPr>
      </w:pPr>
    </w:p>
    <w:p w:rsidR="00EC2F5D" w:rsidRDefault="00EC2F5D" w:rsidP="007D0965">
      <w:pPr>
        <w:pStyle w:val="Body"/>
        <w:spacing w:line="360" w:lineRule="auto"/>
        <w:contextualSpacing/>
        <w:jc w:val="both"/>
        <w:rPr>
          <w:rFonts w:ascii="Times New Roman" w:hAnsi="Times New Roman" w:cs="Times New Roman"/>
          <w:sz w:val="24"/>
          <w:szCs w:val="24"/>
        </w:rPr>
      </w:pPr>
    </w:p>
    <w:p w:rsidR="00EC2F5D" w:rsidRDefault="00EC2F5D" w:rsidP="007D0965">
      <w:pPr>
        <w:pStyle w:val="Body"/>
        <w:spacing w:line="360" w:lineRule="auto"/>
        <w:contextualSpacing/>
        <w:jc w:val="both"/>
        <w:rPr>
          <w:rFonts w:ascii="Times New Roman" w:hAnsi="Times New Roman" w:cs="Times New Roman"/>
          <w:sz w:val="24"/>
          <w:szCs w:val="24"/>
        </w:rPr>
      </w:pPr>
    </w:p>
    <w:p w:rsidR="00EC2F5D" w:rsidRDefault="00EC2F5D" w:rsidP="007D0965">
      <w:pPr>
        <w:pStyle w:val="Body"/>
        <w:spacing w:line="360" w:lineRule="auto"/>
        <w:contextualSpacing/>
        <w:jc w:val="both"/>
        <w:rPr>
          <w:rFonts w:ascii="Times New Roman" w:hAnsi="Times New Roman" w:cs="Times New Roman"/>
          <w:sz w:val="24"/>
          <w:szCs w:val="24"/>
        </w:rPr>
      </w:pPr>
    </w:p>
    <w:p w:rsidR="00EC2F5D" w:rsidRDefault="00EC2F5D" w:rsidP="007D0965">
      <w:pPr>
        <w:pStyle w:val="Body"/>
        <w:spacing w:line="360" w:lineRule="auto"/>
        <w:contextualSpacing/>
        <w:jc w:val="both"/>
        <w:rPr>
          <w:rFonts w:ascii="Times New Roman" w:hAnsi="Times New Roman" w:cs="Times New Roman"/>
          <w:sz w:val="24"/>
          <w:szCs w:val="24"/>
        </w:rPr>
      </w:pPr>
    </w:p>
    <w:p w:rsidR="000978CA" w:rsidRDefault="00D748B8" w:rsidP="007D0965">
      <w:pPr>
        <w:pStyle w:val="Heading1"/>
        <w:spacing w:line="360" w:lineRule="auto"/>
      </w:pPr>
      <w:bookmarkStart w:id="9" w:name="_Toc450577196"/>
      <w:r>
        <w:t>References</w:t>
      </w:r>
      <w:bookmarkEnd w:id="9"/>
    </w:p>
    <w:p w:rsidR="000F6603" w:rsidRDefault="000F6603" w:rsidP="007D0965">
      <w:pPr>
        <w:spacing w:line="360" w:lineRule="auto"/>
        <w:contextualSpacing/>
        <w:rPr>
          <w:rFonts w:ascii="Times New Roman" w:hAnsi="Times New Roman" w:cs="Times New Roman"/>
          <w:sz w:val="24"/>
          <w:szCs w:val="24"/>
        </w:rPr>
      </w:pPr>
    </w:p>
    <w:p w:rsidR="000F6603" w:rsidRDefault="000F6603" w:rsidP="007D0965">
      <w:pPr>
        <w:spacing w:line="360" w:lineRule="auto"/>
        <w:jc w:val="both"/>
        <w:rPr>
          <w:rFonts w:ascii="Times New Roman" w:hAnsi="Times New Roman" w:cs="Times New Roman"/>
          <w:sz w:val="24"/>
          <w:szCs w:val="24"/>
        </w:rPr>
      </w:pPr>
      <w:r>
        <w:rPr>
          <w:rFonts w:ascii="Times New Roman" w:hAnsi="Times New Roman" w:cs="Times New Roman"/>
          <w:sz w:val="24"/>
          <w:szCs w:val="24"/>
        </w:rPr>
        <w:t>Babawale, G., Ajayi, C.,</w:t>
      </w:r>
      <w:r w:rsidRPr="003A15BC">
        <w:rPr>
          <w:rFonts w:ascii="Times New Roman" w:hAnsi="Times New Roman" w:cs="Times New Roman"/>
          <w:sz w:val="24"/>
          <w:szCs w:val="24"/>
        </w:rPr>
        <w:t xml:space="preserve"> (2011) "</w:t>
      </w:r>
      <w:r w:rsidRPr="000F6603">
        <w:rPr>
          <w:rFonts w:ascii="Times New Roman" w:hAnsi="Times New Roman" w:cs="Times New Roman"/>
          <w:i/>
          <w:sz w:val="24"/>
          <w:szCs w:val="24"/>
        </w:rPr>
        <w:t>Variance in residential property valuation in Lagos, Nigeria</w:t>
      </w:r>
      <w:r w:rsidRPr="003A15BC">
        <w:rPr>
          <w:rFonts w:ascii="Times New Roman" w:hAnsi="Times New Roman" w:cs="Times New Roman"/>
          <w:sz w:val="24"/>
          <w:szCs w:val="24"/>
        </w:rPr>
        <w:t>", Property Management, Vol. 29 Iss: 3, pp.222 – 237</w:t>
      </w:r>
    </w:p>
    <w:p w:rsidR="000F6603" w:rsidRDefault="000F6603" w:rsidP="007D0965">
      <w:pPr>
        <w:spacing w:line="360" w:lineRule="auto"/>
        <w:jc w:val="both"/>
        <w:rPr>
          <w:rFonts w:ascii="Times New Roman" w:hAnsi="Times New Roman" w:cs="Times New Roman"/>
          <w:sz w:val="24"/>
          <w:szCs w:val="24"/>
        </w:rPr>
      </w:pPr>
    </w:p>
    <w:p w:rsidR="000F6603" w:rsidRDefault="000F6603" w:rsidP="007D096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Babawale, G., </w:t>
      </w:r>
      <w:r w:rsidRPr="005E7194">
        <w:rPr>
          <w:rFonts w:ascii="Times New Roman" w:eastAsia="Times New Roman" w:hAnsi="Times New Roman" w:cs="Times New Roman"/>
          <w:sz w:val="24"/>
          <w:szCs w:val="24"/>
        </w:rPr>
        <w:t>(2013) "</w:t>
      </w:r>
      <w:r w:rsidRPr="000F6603">
        <w:rPr>
          <w:rFonts w:ascii="Times New Roman" w:eastAsia="Times New Roman" w:hAnsi="Times New Roman" w:cs="Times New Roman"/>
          <w:i/>
          <w:sz w:val="24"/>
          <w:szCs w:val="24"/>
        </w:rPr>
        <w:t>Valuation accuracy – the myth, expectation and reality!",</w:t>
      </w:r>
      <w:r w:rsidRPr="005E7194">
        <w:rPr>
          <w:rFonts w:ascii="Times New Roman" w:eastAsia="Times New Roman" w:hAnsi="Times New Roman" w:cs="Times New Roman"/>
          <w:sz w:val="24"/>
          <w:szCs w:val="24"/>
        </w:rPr>
        <w:t xml:space="preserve"> African Journal of Economic and Management Studies, Vol. 4 Iss: 3, pp.387 </w:t>
      </w:r>
      <w:r>
        <w:rPr>
          <w:rFonts w:ascii="Times New Roman" w:eastAsia="Times New Roman" w:hAnsi="Times New Roman" w:cs="Times New Roman"/>
          <w:sz w:val="24"/>
          <w:szCs w:val="24"/>
        </w:rPr>
        <w:t>–</w:t>
      </w:r>
      <w:r w:rsidRPr="005E7194">
        <w:rPr>
          <w:rFonts w:ascii="Times New Roman" w:eastAsia="Times New Roman" w:hAnsi="Times New Roman" w:cs="Times New Roman"/>
          <w:sz w:val="24"/>
          <w:szCs w:val="24"/>
        </w:rPr>
        <w:t xml:space="preserve"> 406</w:t>
      </w:r>
    </w:p>
    <w:p w:rsidR="000F6603" w:rsidRDefault="000F6603" w:rsidP="007D0965">
      <w:pPr>
        <w:spacing w:after="0" w:line="360" w:lineRule="auto"/>
        <w:jc w:val="both"/>
        <w:rPr>
          <w:rFonts w:ascii="Times New Roman" w:eastAsia="Times New Roman" w:hAnsi="Times New Roman" w:cs="Times New Roman"/>
          <w:sz w:val="24"/>
          <w:szCs w:val="24"/>
        </w:rPr>
      </w:pPr>
    </w:p>
    <w:p w:rsidR="000F6603" w:rsidRDefault="000F6603" w:rsidP="007D096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Choudhury, M., </w:t>
      </w:r>
      <w:r w:rsidRPr="00B546B6">
        <w:rPr>
          <w:rFonts w:ascii="Times New Roman" w:eastAsia="Times New Roman" w:hAnsi="Times New Roman" w:cs="Times New Roman"/>
          <w:sz w:val="24"/>
          <w:szCs w:val="24"/>
        </w:rPr>
        <w:t xml:space="preserve">(2011), Chapter 8 Overlapping Generation Model for Islamic Asset Valuation: A Phenomenological Application, in </w:t>
      </w:r>
      <w:r w:rsidRPr="003A15BC">
        <w:rPr>
          <w:rFonts w:ascii="Times New Roman" w:eastAsia="Times New Roman" w:hAnsi="Times New Roman" w:cs="Times New Roman"/>
          <w:sz w:val="24"/>
          <w:szCs w:val="24"/>
        </w:rPr>
        <w:t>B.H. Baltagi</w:t>
      </w:r>
      <w:r w:rsidRPr="00B546B6">
        <w:rPr>
          <w:rFonts w:ascii="Times New Roman" w:eastAsia="Times New Roman" w:hAnsi="Times New Roman" w:cs="Times New Roman"/>
          <w:sz w:val="24"/>
          <w:szCs w:val="24"/>
        </w:rPr>
        <w:t xml:space="preserve">, </w:t>
      </w:r>
      <w:r w:rsidRPr="003A15BC">
        <w:rPr>
          <w:rFonts w:ascii="Times New Roman" w:eastAsia="Times New Roman" w:hAnsi="Times New Roman" w:cs="Times New Roman"/>
          <w:sz w:val="24"/>
          <w:szCs w:val="24"/>
        </w:rPr>
        <w:t>E. Sadka</w:t>
      </w:r>
      <w:r w:rsidRPr="00B546B6">
        <w:rPr>
          <w:rFonts w:ascii="Times New Roman" w:eastAsia="Times New Roman" w:hAnsi="Times New Roman" w:cs="Times New Roman"/>
          <w:sz w:val="24"/>
          <w:szCs w:val="24"/>
        </w:rPr>
        <w:t xml:space="preserve">, </w:t>
      </w:r>
      <w:r w:rsidRPr="003A15BC">
        <w:rPr>
          <w:rFonts w:ascii="Times New Roman" w:eastAsia="Times New Roman" w:hAnsi="Times New Roman" w:cs="Times New Roman"/>
          <w:sz w:val="24"/>
          <w:szCs w:val="24"/>
        </w:rPr>
        <w:t>Masudul Alam Choudhury</w:t>
      </w:r>
      <w:r w:rsidRPr="00B546B6">
        <w:rPr>
          <w:rFonts w:ascii="Times New Roman" w:eastAsia="Times New Roman" w:hAnsi="Times New Roman" w:cs="Times New Roman"/>
          <w:sz w:val="24"/>
          <w:szCs w:val="24"/>
        </w:rPr>
        <w:t xml:space="preserve"> (ed.) </w:t>
      </w:r>
      <w:r w:rsidRPr="00B546B6">
        <w:rPr>
          <w:rFonts w:ascii="Times New Roman" w:eastAsia="Times New Roman" w:hAnsi="Times New Roman" w:cs="Times New Roman"/>
          <w:i/>
          <w:iCs/>
          <w:sz w:val="24"/>
          <w:szCs w:val="24"/>
        </w:rPr>
        <w:t xml:space="preserve">Contributions to Economic Analysis (Contributions to Economic Analysis, Volume 291) </w:t>
      </w:r>
      <w:r w:rsidRPr="00B546B6">
        <w:rPr>
          <w:rFonts w:ascii="Times New Roman" w:eastAsia="Times New Roman" w:hAnsi="Times New Roman" w:cs="Times New Roman"/>
          <w:sz w:val="24"/>
          <w:szCs w:val="24"/>
        </w:rPr>
        <w:t xml:space="preserve">Emerald Group Publishing Limited, pp.173 </w:t>
      </w:r>
      <w:r>
        <w:rPr>
          <w:rFonts w:ascii="Times New Roman" w:eastAsia="Times New Roman" w:hAnsi="Times New Roman" w:cs="Times New Roman"/>
          <w:sz w:val="24"/>
          <w:szCs w:val="24"/>
        </w:rPr>
        <w:t>–</w:t>
      </w:r>
      <w:r w:rsidRPr="00B546B6">
        <w:rPr>
          <w:rFonts w:ascii="Times New Roman" w:eastAsia="Times New Roman" w:hAnsi="Times New Roman" w:cs="Times New Roman"/>
          <w:sz w:val="24"/>
          <w:szCs w:val="24"/>
        </w:rPr>
        <w:t xml:space="preserve"> 187</w:t>
      </w:r>
    </w:p>
    <w:p w:rsidR="000F6603" w:rsidRPr="00B546B6" w:rsidRDefault="000F6603" w:rsidP="007D0965">
      <w:pPr>
        <w:spacing w:after="0" w:line="360" w:lineRule="auto"/>
        <w:jc w:val="both"/>
        <w:rPr>
          <w:rFonts w:ascii="Times New Roman" w:eastAsia="Times New Roman" w:hAnsi="Times New Roman" w:cs="Times New Roman"/>
          <w:sz w:val="24"/>
          <w:szCs w:val="24"/>
        </w:rPr>
      </w:pPr>
    </w:p>
    <w:p w:rsidR="000F6603" w:rsidRDefault="000F6603" w:rsidP="007D0965">
      <w:pPr>
        <w:pStyle w:val="Body"/>
        <w:spacing w:line="360" w:lineRule="auto"/>
        <w:contextualSpacing/>
        <w:jc w:val="both"/>
        <w:rPr>
          <w:rFonts w:ascii="Times New Roman" w:hAnsi="Times New Roman" w:cs="Times New Roman"/>
          <w:iCs/>
          <w:sz w:val="24"/>
          <w:szCs w:val="24"/>
        </w:rPr>
      </w:pPr>
      <w:r>
        <w:rPr>
          <w:rFonts w:ascii="Times New Roman" w:hAnsi="Times New Roman" w:cs="Times New Roman"/>
          <w:iCs/>
          <w:sz w:val="24"/>
          <w:szCs w:val="24"/>
        </w:rPr>
        <w:t>Clark, F., &amp; Dean, G., (2007),</w:t>
      </w:r>
      <w:r w:rsidRPr="00AA3D0F">
        <w:rPr>
          <w:rFonts w:ascii="Times New Roman" w:hAnsi="Times New Roman" w:cs="Times New Roman"/>
          <w:iCs/>
          <w:sz w:val="24"/>
          <w:szCs w:val="24"/>
        </w:rPr>
        <w:t xml:space="preserve"> </w:t>
      </w:r>
      <w:r>
        <w:rPr>
          <w:rFonts w:ascii="Times New Roman" w:hAnsi="Times New Roman" w:cs="Times New Roman"/>
          <w:iCs/>
          <w:sz w:val="24"/>
          <w:szCs w:val="24"/>
        </w:rPr>
        <w:t>“</w:t>
      </w:r>
      <w:r w:rsidRPr="000F6603">
        <w:rPr>
          <w:rFonts w:ascii="Times New Roman" w:hAnsi="Times New Roman" w:cs="Times New Roman"/>
          <w:i/>
          <w:iCs/>
          <w:sz w:val="24"/>
          <w:szCs w:val="24"/>
        </w:rPr>
        <w:t>Indecent Disclosure: Gilding the Corporate Lily</w:t>
      </w:r>
      <w:r>
        <w:rPr>
          <w:rFonts w:ascii="Times New Roman" w:hAnsi="Times New Roman" w:cs="Times New Roman"/>
          <w:i/>
          <w:iCs/>
          <w:sz w:val="24"/>
          <w:szCs w:val="24"/>
        </w:rPr>
        <w:t>”</w:t>
      </w:r>
      <w:r>
        <w:rPr>
          <w:rFonts w:ascii="Times New Roman" w:hAnsi="Times New Roman" w:cs="Times New Roman"/>
          <w:iCs/>
          <w:sz w:val="24"/>
          <w:szCs w:val="24"/>
        </w:rPr>
        <w:t>,</w:t>
      </w:r>
      <w:r w:rsidRPr="00AA3D0F">
        <w:rPr>
          <w:rFonts w:ascii="Times New Roman" w:hAnsi="Times New Roman" w:cs="Times New Roman"/>
          <w:iCs/>
          <w:sz w:val="24"/>
          <w:szCs w:val="24"/>
        </w:rPr>
        <w:t xml:space="preserve"> Cambri</w:t>
      </w:r>
      <w:r>
        <w:rPr>
          <w:rFonts w:ascii="Times New Roman" w:hAnsi="Times New Roman" w:cs="Times New Roman"/>
          <w:iCs/>
          <w:sz w:val="24"/>
          <w:szCs w:val="24"/>
        </w:rPr>
        <w:t>dge University Press, Melbourne</w:t>
      </w:r>
    </w:p>
    <w:p w:rsidR="000F6603" w:rsidRDefault="000F6603" w:rsidP="007D0965">
      <w:pPr>
        <w:spacing w:line="360" w:lineRule="auto"/>
        <w:jc w:val="both"/>
        <w:rPr>
          <w:rFonts w:ascii="Times New Roman" w:hAnsi="Times New Roman" w:cs="Times New Roman"/>
          <w:sz w:val="24"/>
          <w:szCs w:val="24"/>
        </w:rPr>
      </w:pPr>
    </w:p>
    <w:p w:rsidR="000F6603" w:rsidRDefault="000F6603" w:rsidP="007D09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DeLisle, J., Grissom, T., </w:t>
      </w:r>
      <w:r w:rsidRPr="003A15BC">
        <w:rPr>
          <w:rFonts w:ascii="Times New Roman" w:hAnsi="Times New Roman" w:cs="Times New Roman"/>
          <w:sz w:val="24"/>
          <w:szCs w:val="24"/>
        </w:rPr>
        <w:t xml:space="preserve">(2011) </w:t>
      </w:r>
      <w:r w:rsidRPr="000F6603">
        <w:rPr>
          <w:rFonts w:ascii="Times New Roman" w:hAnsi="Times New Roman" w:cs="Times New Roman"/>
          <w:i/>
          <w:sz w:val="24"/>
          <w:szCs w:val="24"/>
        </w:rPr>
        <w:t>"Valuation procedure and cycles: an emphasis on down markets",</w:t>
      </w:r>
      <w:r w:rsidRPr="003A15BC">
        <w:rPr>
          <w:rFonts w:ascii="Times New Roman" w:hAnsi="Times New Roman" w:cs="Times New Roman"/>
          <w:sz w:val="24"/>
          <w:szCs w:val="24"/>
        </w:rPr>
        <w:t xml:space="preserve"> Journal of Property Investment &amp; Finance, Vol. 29 Iss: 4/5, pp.384 – 427</w:t>
      </w:r>
    </w:p>
    <w:p w:rsidR="000F6603" w:rsidRDefault="000F6603" w:rsidP="007D0965">
      <w:pPr>
        <w:spacing w:after="0" w:line="360" w:lineRule="auto"/>
        <w:jc w:val="both"/>
        <w:rPr>
          <w:rFonts w:ascii="Times New Roman" w:hAnsi="Times New Roman" w:cs="Times New Roman"/>
          <w:sz w:val="24"/>
          <w:szCs w:val="24"/>
        </w:rPr>
      </w:pPr>
    </w:p>
    <w:p w:rsidR="000F6603" w:rsidRPr="004F28AD" w:rsidRDefault="000F6603" w:rsidP="007D096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Grover, R., </w:t>
      </w:r>
      <w:r w:rsidRPr="004F28AD">
        <w:rPr>
          <w:rFonts w:ascii="Times New Roman" w:eastAsia="Times New Roman" w:hAnsi="Times New Roman" w:cs="Times New Roman"/>
          <w:sz w:val="24"/>
          <w:szCs w:val="24"/>
        </w:rPr>
        <w:t>(2016) "</w:t>
      </w:r>
      <w:r w:rsidRPr="000F6603">
        <w:rPr>
          <w:rFonts w:ascii="Times New Roman" w:eastAsia="Times New Roman" w:hAnsi="Times New Roman" w:cs="Times New Roman"/>
          <w:i/>
          <w:sz w:val="24"/>
          <w:szCs w:val="24"/>
        </w:rPr>
        <w:t>Mass valuations",</w:t>
      </w:r>
      <w:r w:rsidRPr="004F28AD">
        <w:rPr>
          <w:rFonts w:ascii="Times New Roman" w:eastAsia="Times New Roman" w:hAnsi="Times New Roman" w:cs="Times New Roman"/>
          <w:sz w:val="24"/>
          <w:szCs w:val="24"/>
        </w:rPr>
        <w:t xml:space="preserve"> Journal of Property Investment &amp; Finance, Vol. 34 Iss: 2, pp.191 - 204</w:t>
      </w:r>
    </w:p>
    <w:p w:rsidR="000F6603" w:rsidRDefault="000F6603" w:rsidP="007D0965">
      <w:pPr>
        <w:spacing w:after="0" w:line="360" w:lineRule="auto"/>
        <w:jc w:val="both"/>
        <w:rPr>
          <w:rFonts w:ascii="Times New Roman" w:hAnsi="Times New Roman" w:cs="Times New Roman"/>
          <w:sz w:val="24"/>
          <w:szCs w:val="24"/>
        </w:rPr>
      </w:pPr>
    </w:p>
    <w:p w:rsidR="000F6603" w:rsidRDefault="000F6603" w:rsidP="007D09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Halvitigala, D., Murphy, L., Levy, D., </w:t>
      </w:r>
      <w:r w:rsidRPr="003A15BC">
        <w:rPr>
          <w:rFonts w:ascii="Times New Roman" w:hAnsi="Times New Roman" w:cs="Times New Roman"/>
          <w:sz w:val="24"/>
          <w:szCs w:val="24"/>
        </w:rPr>
        <w:t>(2011) "</w:t>
      </w:r>
      <w:r w:rsidRPr="000F6603">
        <w:rPr>
          <w:rFonts w:ascii="Times New Roman" w:hAnsi="Times New Roman" w:cs="Times New Roman"/>
          <w:i/>
          <w:sz w:val="24"/>
          <w:szCs w:val="24"/>
        </w:rPr>
        <w:t>Dominant and non</w:t>
      </w:r>
      <w:r w:rsidRPr="000F6603">
        <w:rPr>
          <w:rFonts w:cs="Times New Roman"/>
          <w:i/>
          <w:sz w:val="24"/>
          <w:szCs w:val="24"/>
        </w:rPr>
        <w:t>‐</w:t>
      </w:r>
      <w:r w:rsidRPr="000F6603">
        <w:rPr>
          <w:rFonts w:ascii="Times New Roman" w:hAnsi="Times New Roman" w:cs="Times New Roman"/>
          <w:i/>
          <w:sz w:val="24"/>
          <w:szCs w:val="24"/>
        </w:rPr>
        <w:t>dominant lease structures and their effect on place</w:t>
      </w:r>
      <w:r w:rsidRPr="000F6603">
        <w:rPr>
          <w:rFonts w:cs="Times New Roman"/>
          <w:i/>
          <w:sz w:val="24"/>
          <w:szCs w:val="24"/>
        </w:rPr>
        <w:t>‐</w:t>
      </w:r>
      <w:r w:rsidRPr="000F6603">
        <w:rPr>
          <w:rFonts w:ascii="Times New Roman" w:hAnsi="Times New Roman" w:cs="Times New Roman"/>
          <w:i/>
          <w:sz w:val="24"/>
          <w:szCs w:val="24"/>
        </w:rPr>
        <w:t xml:space="preserve">based valuation practices", </w:t>
      </w:r>
      <w:r w:rsidRPr="003A15BC">
        <w:rPr>
          <w:rFonts w:ascii="Times New Roman" w:hAnsi="Times New Roman" w:cs="Times New Roman"/>
          <w:sz w:val="24"/>
          <w:szCs w:val="24"/>
        </w:rPr>
        <w:t>Journal of Property Investment &amp; Finance, Vol. 29 Iss: 6, pp.595 – 611</w:t>
      </w:r>
    </w:p>
    <w:p w:rsidR="000F6603" w:rsidRDefault="000F6603" w:rsidP="007D0965">
      <w:pPr>
        <w:spacing w:line="360" w:lineRule="auto"/>
        <w:jc w:val="both"/>
        <w:rPr>
          <w:rFonts w:ascii="Times New Roman" w:hAnsi="Times New Roman" w:cs="Times New Roman"/>
          <w:sz w:val="24"/>
          <w:szCs w:val="24"/>
        </w:rPr>
      </w:pPr>
    </w:p>
    <w:p w:rsidR="000F6603" w:rsidRDefault="000F6603" w:rsidP="007D0965">
      <w:pPr>
        <w:spacing w:after="0" w:line="360" w:lineRule="auto"/>
        <w:jc w:val="both"/>
        <w:rPr>
          <w:rFonts w:ascii="Times New Roman" w:eastAsia="Times New Roman" w:hAnsi="Times New Roman" w:cs="Times New Roman"/>
          <w:sz w:val="24"/>
          <w:szCs w:val="24"/>
        </w:rPr>
      </w:pPr>
    </w:p>
    <w:p w:rsidR="000F6603" w:rsidRDefault="000F6603" w:rsidP="007D096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Hordijk, A., Nelisse, P., Gritter, L.,</w:t>
      </w:r>
      <w:r w:rsidRPr="00B546B6">
        <w:rPr>
          <w:rFonts w:ascii="Times New Roman" w:eastAsia="Times New Roman" w:hAnsi="Times New Roman" w:cs="Times New Roman"/>
          <w:sz w:val="24"/>
          <w:szCs w:val="24"/>
        </w:rPr>
        <w:t xml:space="preserve"> (2011) "</w:t>
      </w:r>
      <w:r w:rsidRPr="000F6603">
        <w:rPr>
          <w:rFonts w:ascii="Times New Roman" w:eastAsia="Times New Roman" w:hAnsi="Times New Roman" w:cs="Times New Roman"/>
          <w:i/>
          <w:sz w:val="24"/>
          <w:szCs w:val="24"/>
        </w:rPr>
        <w:t>European valuation practices: how to compare valuations across borders? Initial findings"</w:t>
      </w:r>
      <w:r w:rsidRPr="00B546B6">
        <w:rPr>
          <w:rFonts w:ascii="Times New Roman" w:eastAsia="Times New Roman" w:hAnsi="Times New Roman" w:cs="Times New Roman"/>
          <w:sz w:val="24"/>
          <w:szCs w:val="24"/>
        </w:rPr>
        <w:t xml:space="preserve">, Journal of Property Investment &amp; Finance, Vol. 29 Iss: 4/5, pp.575 </w:t>
      </w:r>
      <w:r w:rsidRPr="003A15BC">
        <w:rPr>
          <w:rFonts w:ascii="Times New Roman" w:eastAsia="Times New Roman" w:hAnsi="Times New Roman" w:cs="Times New Roman"/>
          <w:sz w:val="24"/>
          <w:szCs w:val="24"/>
        </w:rPr>
        <w:t>–</w:t>
      </w:r>
      <w:r w:rsidRPr="00B546B6">
        <w:rPr>
          <w:rFonts w:ascii="Times New Roman" w:eastAsia="Times New Roman" w:hAnsi="Times New Roman" w:cs="Times New Roman"/>
          <w:sz w:val="24"/>
          <w:szCs w:val="24"/>
        </w:rPr>
        <w:t xml:space="preserve"> 581</w:t>
      </w:r>
    </w:p>
    <w:p w:rsidR="000F6603" w:rsidRDefault="000F6603" w:rsidP="007D0965">
      <w:pPr>
        <w:spacing w:after="0" w:line="360" w:lineRule="auto"/>
        <w:jc w:val="both"/>
        <w:rPr>
          <w:rFonts w:ascii="Times New Roman" w:eastAsia="Times New Roman" w:hAnsi="Times New Roman" w:cs="Times New Roman"/>
          <w:sz w:val="24"/>
          <w:szCs w:val="24"/>
        </w:rPr>
      </w:pPr>
    </w:p>
    <w:p w:rsidR="000F6603" w:rsidRPr="003A15BC" w:rsidRDefault="000F6603" w:rsidP="007D096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Lagrost, C., Martin, D., Dubois, C., Quazzotti, S., (</w:t>
      </w:r>
      <w:r w:rsidRPr="00322BE1">
        <w:rPr>
          <w:rFonts w:ascii="Times New Roman" w:eastAsia="Times New Roman" w:hAnsi="Times New Roman" w:cs="Times New Roman"/>
          <w:sz w:val="24"/>
          <w:szCs w:val="24"/>
        </w:rPr>
        <w:t xml:space="preserve">2010) </w:t>
      </w:r>
      <w:r w:rsidRPr="000F6603">
        <w:rPr>
          <w:rFonts w:ascii="Times New Roman" w:eastAsia="Times New Roman" w:hAnsi="Times New Roman" w:cs="Times New Roman"/>
          <w:i/>
          <w:sz w:val="24"/>
          <w:szCs w:val="24"/>
        </w:rPr>
        <w:t>"Intellectual property valuation: how to approach the selection of an appropriate valuation method",</w:t>
      </w:r>
      <w:r w:rsidRPr="00322BE1">
        <w:rPr>
          <w:rFonts w:ascii="Times New Roman" w:eastAsia="Times New Roman" w:hAnsi="Times New Roman" w:cs="Times New Roman"/>
          <w:sz w:val="24"/>
          <w:szCs w:val="24"/>
        </w:rPr>
        <w:t xml:space="preserve"> Journal of Intellectual Capital, Vol. 11 Iss: 4, pp.481 </w:t>
      </w:r>
      <w:r w:rsidRPr="003A15BC">
        <w:rPr>
          <w:rFonts w:ascii="Times New Roman" w:eastAsia="Times New Roman" w:hAnsi="Times New Roman" w:cs="Times New Roman"/>
          <w:sz w:val="24"/>
          <w:szCs w:val="24"/>
        </w:rPr>
        <w:t>–</w:t>
      </w:r>
      <w:r w:rsidRPr="00322BE1">
        <w:rPr>
          <w:rFonts w:ascii="Times New Roman" w:eastAsia="Times New Roman" w:hAnsi="Times New Roman" w:cs="Times New Roman"/>
          <w:sz w:val="24"/>
          <w:szCs w:val="24"/>
        </w:rPr>
        <w:t xml:space="preserve"> 503</w:t>
      </w:r>
    </w:p>
    <w:p w:rsidR="000F6603" w:rsidRDefault="000F6603" w:rsidP="007D0965">
      <w:pPr>
        <w:spacing w:after="0" w:line="360" w:lineRule="auto"/>
        <w:jc w:val="both"/>
        <w:rPr>
          <w:rFonts w:ascii="Times New Roman" w:eastAsia="Times New Roman" w:hAnsi="Times New Roman" w:cs="Times New Roman"/>
          <w:sz w:val="24"/>
          <w:szCs w:val="24"/>
        </w:rPr>
      </w:pPr>
    </w:p>
    <w:p w:rsidR="000F6603" w:rsidRPr="00322BE1" w:rsidRDefault="000F6603" w:rsidP="007D096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Levin, E., Montagnoli, A., Pryce, G.,</w:t>
      </w:r>
      <w:r w:rsidRPr="00322BE1">
        <w:rPr>
          <w:rFonts w:ascii="Times New Roman" w:eastAsia="Times New Roman" w:hAnsi="Times New Roman" w:cs="Times New Roman"/>
          <w:sz w:val="24"/>
          <w:szCs w:val="24"/>
        </w:rPr>
        <w:t xml:space="preserve"> (2011) "</w:t>
      </w:r>
      <w:r w:rsidRPr="000F6603">
        <w:rPr>
          <w:rFonts w:ascii="Times New Roman" w:eastAsia="Times New Roman" w:hAnsi="Times New Roman" w:cs="Times New Roman"/>
          <w:i/>
          <w:sz w:val="24"/>
          <w:szCs w:val="24"/>
        </w:rPr>
        <w:t>Mark</w:t>
      </w:r>
      <w:r w:rsidRPr="000F6603">
        <w:rPr>
          <w:rFonts w:ascii="Cambria Math" w:eastAsia="Times New Roman" w:hAnsi="Cambria Math" w:cs="Times New Roman"/>
          <w:i/>
          <w:sz w:val="24"/>
          <w:szCs w:val="24"/>
        </w:rPr>
        <w:t>‐</w:t>
      </w:r>
      <w:r w:rsidRPr="000F6603">
        <w:rPr>
          <w:rFonts w:ascii="Times New Roman" w:eastAsia="Times New Roman" w:hAnsi="Times New Roman" w:cs="Times New Roman"/>
          <w:i/>
          <w:sz w:val="24"/>
          <w:szCs w:val="24"/>
        </w:rPr>
        <w:t>to</w:t>
      </w:r>
      <w:r w:rsidRPr="000F6603">
        <w:rPr>
          <w:rFonts w:ascii="Cambria Math" w:eastAsia="Times New Roman" w:hAnsi="Cambria Math" w:cs="Times New Roman"/>
          <w:i/>
          <w:sz w:val="24"/>
          <w:szCs w:val="24"/>
        </w:rPr>
        <w:t>‐</w:t>
      </w:r>
      <w:r w:rsidRPr="000F6603">
        <w:rPr>
          <w:rFonts w:ascii="Times New Roman" w:eastAsia="Times New Roman" w:hAnsi="Times New Roman" w:cs="Times New Roman"/>
          <w:i/>
          <w:sz w:val="24"/>
          <w:szCs w:val="24"/>
        </w:rPr>
        <w:t>market and house asset valuation: An initial attempt at extending the Poterba model using the term structure of real forward interest rates",</w:t>
      </w:r>
      <w:r w:rsidRPr="00322BE1">
        <w:rPr>
          <w:rFonts w:ascii="Times New Roman" w:eastAsia="Times New Roman" w:hAnsi="Times New Roman" w:cs="Times New Roman"/>
          <w:sz w:val="24"/>
          <w:szCs w:val="24"/>
        </w:rPr>
        <w:t xml:space="preserve"> International Journal of Housing Markets and Analysis, Vol. 4 Iss: 2, pp.172 - 179</w:t>
      </w:r>
    </w:p>
    <w:p w:rsidR="000F6603" w:rsidRDefault="000F6603" w:rsidP="007D0965">
      <w:pPr>
        <w:spacing w:after="0" w:line="360" w:lineRule="auto"/>
        <w:jc w:val="both"/>
        <w:rPr>
          <w:rFonts w:ascii="Times New Roman" w:eastAsia="Times New Roman" w:hAnsi="Times New Roman" w:cs="Times New Roman"/>
          <w:sz w:val="24"/>
          <w:szCs w:val="24"/>
        </w:rPr>
      </w:pPr>
    </w:p>
    <w:p w:rsidR="000F6603" w:rsidRPr="003A15BC" w:rsidRDefault="000F6603" w:rsidP="007D09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Misati, R., Nyamongo, E., </w:t>
      </w:r>
      <w:r w:rsidRPr="003A15BC">
        <w:rPr>
          <w:rFonts w:ascii="Times New Roman" w:hAnsi="Times New Roman" w:cs="Times New Roman"/>
          <w:sz w:val="24"/>
          <w:szCs w:val="24"/>
        </w:rPr>
        <w:t>(2012) "</w:t>
      </w:r>
      <w:r w:rsidRPr="000F6603">
        <w:rPr>
          <w:rFonts w:ascii="Times New Roman" w:hAnsi="Times New Roman" w:cs="Times New Roman"/>
          <w:i/>
          <w:sz w:val="24"/>
          <w:szCs w:val="24"/>
        </w:rPr>
        <w:t>Asset prices and monetary policy in Kenya",</w:t>
      </w:r>
      <w:r w:rsidRPr="003A15BC">
        <w:rPr>
          <w:rFonts w:ascii="Times New Roman" w:hAnsi="Times New Roman" w:cs="Times New Roman"/>
          <w:sz w:val="24"/>
          <w:szCs w:val="24"/>
        </w:rPr>
        <w:t xml:space="preserve"> Journal of Economic Studies, Vol. 39 Iss: 4, pp.451 – 468</w:t>
      </w:r>
    </w:p>
    <w:p w:rsidR="000F6603" w:rsidRDefault="000F6603" w:rsidP="007D0965">
      <w:pPr>
        <w:spacing w:after="0" w:line="360" w:lineRule="auto"/>
        <w:jc w:val="both"/>
        <w:rPr>
          <w:rFonts w:ascii="Times New Roman" w:eastAsia="Times New Roman" w:hAnsi="Times New Roman" w:cs="Times New Roman"/>
          <w:sz w:val="24"/>
          <w:szCs w:val="24"/>
        </w:rPr>
      </w:pPr>
    </w:p>
    <w:p w:rsidR="000F6603" w:rsidRDefault="000F6603" w:rsidP="007D096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Parker, D., </w:t>
      </w:r>
      <w:r w:rsidRPr="005E7194">
        <w:rPr>
          <w:rFonts w:ascii="Times New Roman" w:eastAsia="Times New Roman" w:hAnsi="Times New Roman" w:cs="Times New Roman"/>
          <w:sz w:val="24"/>
          <w:szCs w:val="24"/>
        </w:rPr>
        <w:t>(2011) "</w:t>
      </w:r>
      <w:r w:rsidRPr="000F6603">
        <w:rPr>
          <w:rFonts w:ascii="Times New Roman" w:eastAsia="Times New Roman" w:hAnsi="Times New Roman" w:cs="Times New Roman"/>
          <w:i/>
          <w:sz w:val="24"/>
          <w:szCs w:val="24"/>
        </w:rPr>
        <w:t>Valuation of airports for financial reporting: fair value?",</w:t>
      </w:r>
      <w:r w:rsidRPr="005E7194">
        <w:rPr>
          <w:rFonts w:ascii="Times New Roman" w:eastAsia="Times New Roman" w:hAnsi="Times New Roman" w:cs="Times New Roman"/>
          <w:sz w:val="24"/>
          <w:szCs w:val="24"/>
        </w:rPr>
        <w:t xml:space="preserve"> Journal of Property Investment &amp; Finance, Vol. 29 Iss: 6, pp.677 </w:t>
      </w:r>
      <w:r>
        <w:rPr>
          <w:rFonts w:ascii="Times New Roman" w:eastAsia="Times New Roman" w:hAnsi="Times New Roman" w:cs="Times New Roman"/>
          <w:sz w:val="24"/>
          <w:szCs w:val="24"/>
        </w:rPr>
        <w:t>–</w:t>
      </w:r>
      <w:r w:rsidRPr="005E7194">
        <w:rPr>
          <w:rFonts w:ascii="Times New Roman" w:eastAsia="Times New Roman" w:hAnsi="Times New Roman" w:cs="Times New Roman"/>
          <w:sz w:val="24"/>
          <w:szCs w:val="24"/>
        </w:rPr>
        <w:t xml:space="preserve"> 692</w:t>
      </w:r>
    </w:p>
    <w:p w:rsidR="000F6603" w:rsidRDefault="000F6603" w:rsidP="007D0965">
      <w:pPr>
        <w:spacing w:after="0" w:line="360" w:lineRule="auto"/>
        <w:jc w:val="both"/>
        <w:rPr>
          <w:rFonts w:ascii="Times New Roman" w:eastAsia="Times New Roman" w:hAnsi="Times New Roman" w:cs="Times New Roman"/>
          <w:sz w:val="24"/>
          <w:szCs w:val="24"/>
        </w:rPr>
      </w:pPr>
    </w:p>
    <w:p w:rsidR="000F6603" w:rsidRDefault="000F6603" w:rsidP="007D096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Prokop, J., </w:t>
      </w:r>
      <w:r w:rsidRPr="00322BE1">
        <w:rPr>
          <w:rFonts w:ascii="Times New Roman" w:eastAsia="Times New Roman" w:hAnsi="Times New Roman" w:cs="Times New Roman"/>
          <w:sz w:val="24"/>
          <w:szCs w:val="24"/>
        </w:rPr>
        <w:t>(2013) "</w:t>
      </w:r>
      <w:r w:rsidRPr="000F6603">
        <w:rPr>
          <w:rFonts w:ascii="Times New Roman" w:eastAsia="Times New Roman" w:hAnsi="Times New Roman" w:cs="Times New Roman"/>
          <w:i/>
          <w:sz w:val="24"/>
          <w:szCs w:val="24"/>
        </w:rPr>
        <w:t>Unobservable service quality and moral hazard: the case of impartial business valuations"</w:t>
      </w:r>
      <w:r w:rsidRPr="00322BE1">
        <w:rPr>
          <w:rFonts w:ascii="Times New Roman" w:eastAsia="Times New Roman" w:hAnsi="Times New Roman" w:cs="Times New Roman"/>
          <w:sz w:val="24"/>
          <w:szCs w:val="24"/>
        </w:rPr>
        <w:t xml:space="preserve">, Qualitative Research in Financial Markets, Vol. 5 Iss: 2, pp.178 </w:t>
      </w:r>
      <w:r w:rsidRPr="003A15BC">
        <w:rPr>
          <w:rFonts w:ascii="Times New Roman" w:eastAsia="Times New Roman" w:hAnsi="Times New Roman" w:cs="Times New Roman"/>
          <w:sz w:val="24"/>
          <w:szCs w:val="24"/>
        </w:rPr>
        <w:t>–</w:t>
      </w:r>
      <w:r w:rsidRPr="00322BE1">
        <w:rPr>
          <w:rFonts w:ascii="Times New Roman" w:eastAsia="Times New Roman" w:hAnsi="Times New Roman" w:cs="Times New Roman"/>
          <w:sz w:val="24"/>
          <w:szCs w:val="24"/>
        </w:rPr>
        <w:t xml:space="preserve"> 194</w:t>
      </w:r>
    </w:p>
    <w:p w:rsidR="000F6603" w:rsidRDefault="000F6603" w:rsidP="007D0965">
      <w:pPr>
        <w:spacing w:line="360" w:lineRule="auto"/>
        <w:jc w:val="both"/>
        <w:rPr>
          <w:rFonts w:ascii="Times New Roman" w:hAnsi="Times New Roman" w:cs="Times New Roman"/>
          <w:sz w:val="24"/>
          <w:szCs w:val="24"/>
        </w:rPr>
      </w:pPr>
    </w:p>
    <w:p w:rsidR="000F6603" w:rsidRDefault="000F6603" w:rsidP="007D09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Salamudin, N., Bakar, R., Ibrahim, M., Hassan, F., </w:t>
      </w:r>
      <w:r w:rsidRPr="003A15BC">
        <w:rPr>
          <w:rFonts w:ascii="Times New Roman" w:hAnsi="Times New Roman" w:cs="Times New Roman"/>
          <w:sz w:val="24"/>
          <w:szCs w:val="24"/>
        </w:rPr>
        <w:t>(2010) "</w:t>
      </w:r>
      <w:r w:rsidRPr="000F6603">
        <w:rPr>
          <w:rFonts w:ascii="Times New Roman" w:hAnsi="Times New Roman" w:cs="Times New Roman"/>
          <w:i/>
          <w:sz w:val="24"/>
          <w:szCs w:val="24"/>
        </w:rPr>
        <w:t>Intangible assets valuation in the Malaysian capital market"</w:t>
      </w:r>
      <w:r w:rsidRPr="003A15BC">
        <w:rPr>
          <w:rFonts w:ascii="Times New Roman" w:hAnsi="Times New Roman" w:cs="Times New Roman"/>
          <w:sz w:val="24"/>
          <w:szCs w:val="24"/>
        </w:rPr>
        <w:t>, Journal of Intellectual Capital, Vol. 11 Iss: 3, pp.391 – 405</w:t>
      </w:r>
    </w:p>
    <w:p w:rsidR="009F15E2" w:rsidRDefault="009F15E2" w:rsidP="007D0965">
      <w:pPr>
        <w:spacing w:line="360" w:lineRule="auto"/>
        <w:jc w:val="both"/>
        <w:rPr>
          <w:rFonts w:ascii="Times New Roman" w:hAnsi="Times New Roman" w:cs="Times New Roman"/>
          <w:sz w:val="24"/>
          <w:szCs w:val="24"/>
        </w:rPr>
      </w:pPr>
    </w:p>
    <w:p w:rsidR="000F6603" w:rsidRDefault="000F6603" w:rsidP="007D09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Schanaidt, T., Sebastian, S., </w:t>
      </w:r>
      <w:r w:rsidRPr="003A15BC">
        <w:rPr>
          <w:rFonts w:ascii="Times New Roman" w:hAnsi="Times New Roman" w:cs="Times New Roman"/>
          <w:sz w:val="24"/>
          <w:szCs w:val="24"/>
        </w:rPr>
        <w:t>(2012) "</w:t>
      </w:r>
      <w:r w:rsidRPr="000F6603">
        <w:rPr>
          <w:rFonts w:ascii="Times New Roman" w:hAnsi="Times New Roman" w:cs="Times New Roman"/>
          <w:i/>
          <w:sz w:val="24"/>
          <w:szCs w:val="24"/>
        </w:rPr>
        <w:t>German valuation: review of methods and legal framework"</w:t>
      </w:r>
      <w:r w:rsidRPr="003A15BC">
        <w:rPr>
          <w:rFonts w:ascii="Times New Roman" w:hAnsi="Times New Roman" w:cs="Times New Roman"/>
          <w:sz w:val="24"/>
          <w:szCs w:val="24"/>
        </w:rPr>
        <w:t>, Journal of Property Investment &amp; Finance, Vol. 30 Iss: 2, pp.145 – 158</w:t>
      </w:r>
    </w:p>
    <w:p w:rsidR="009F15E2" w:rsidRDefault="009F15E2" w:rsidP="007D0965">
      <w:pPr>
        <w:spacing w:after="0" w:line="360" w:lineRule="auto"/>
        <w:jc w:val="both"/>
        <w:rPr>
          <w:rFonts w:ascii="Times New Roman" w:hAnsi="Times New Roman" w:cs="Times New Roman"/>
          <w:sz w:val="24"/>
          <w:szCs w:val="24"/>
        </w:rPr>
      </w:pPr>
    </w:p>
    <w:p w:rsidR="009F15E2" w:rsidRDefault="009F15E2" w:rsidP="007D0965">
      <w:pPr>
        <w:spacing w:after="0" w:line="360" w:lineRule="auto"/>
        <w:jc w:val="both"/>
        <w:rPr>
          <w:rFonts w:ascii="Times New Roman" w:hAnsi="Times New Roman" w:cs="Times New Roman"/>
          <w:sz w:val="24"/>
          <w:szCs w:val="24"/>
        </w:rPr>
      </w:pPr>
    </w:p>
    <w:p w:rsidR="009F15E2" w:rsidRPr="003A15BC" w:rsidRDefault="009F15E2" w:rsidP="007D0965">
      <w:pPr>
        <w:spacing w:after="0" w:line="360" w:lineRule="auto"/>
        <w:jc w:val="both"/>
        <w:rPr>
          <w:rFonts w:ascii="Times New Roman" w:hAnsi="Times New Roman" w:cs="Times New Roman"/>
          <w:sz w:val="24"/>
          <w:szCs w:val="24"/>
        </w:rPr>
      </w:pPr>
    </w:p>
    <w:p w:rsidR="000F6603" w:rsidRDefault="000F6603" w:rsidP="007D0965">
      <w:pPr>
        <w:spacing w:line="360" w:lineRule="auto"/>
        <w:jc w:val="both"/>
        <w:rPr>
          <w:rFonts w:ascii="Times New Roman" w:hAnsi="Times New Roman" w:cs="Times New Roman"/>
          <w:sz w:val="24"/>
          <w:szCs w:val="24"/>
        </w:rPr>
      </w:pPr>
    </w:p>
    <w:p w:rsidR="000F6603" w:rsidRPr="003A15BC" w:rsidRDefault="000F6603" w:rsidP="007D09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Schauten, M., Stegink, R., Graadd, G., </w:t>
      </w:r>
      <w:r w:rsidRPr="003A15BC">
        <w:rPr>
          <w:rFonts w:ascii="Times New Roman" w:hAnsi="Times New Roman" w:cs="Times New Roman"/>
          <w:sz w:val="24"/>
          <w:szCs w:val="24"/>
        </w:rPr>
        <w:t>(2010) "</w:t>
      </w:r>
      <w:r w:rsidRPr="000F6603">
        <w:rPr>
          <w:rFonts w:ascii="Times New Roman" w:hAnsi="Times New Roman" w:cs="Times New Roman"/>
          <w:i/>
          <w:sz w:val="24"/>
          <w:szCs w:val="24"/>
        </w:rPr>
        <w:t>The discount rate for discounted cash flow valuations of intangible assets",</w:t>
      </w:r>
      <w:r w:rsidRPr="003A15BC">
        <w:rPr>
          <w:rFonts w:ascii="Times New Roman" w:hAnsi="Times New Roman" w:cs="Times New Roman"/>
          <w:sz w:val="24"/>
          <w:szCs w:val="24"/>
        </w:rPr>
        <w:t xml:space="preserve"> Managerial Finance, Vol. 36 Iss: 9, pp.799 – 811</w:t>
      </w:r>
    </w:p>
    <w:p w:rsidR="000F6603" w:rsidRDefault="000F6603" w:rsidP="007D0965">
      <w:pPr>
        <w:spacing w:after="0" w:line="360" w:lineRule="auto"/>
        <w:jc w:val="both"/>
        <w:rPr>
          <w:rFonts w:ascii="Times New Roman" w:hAnsi="Times New Roman" w:cs="Times New Roman"/>
          <w:sz w:val="24"/>
          <w:szCs w:val="24"/>
        </w:rPr>
      </w:pPr>
    </w:p>
    <w:p w:rsidR="000F6603" w:rsidRPr="003A15BC" w:rsidRDefault="000F6603" w:rsidP="007D09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Strench, B., Schellenger, J.,</w:t>
      </w:r>
      <w:r w:rsidRPr="003A15BC">
        <w:rPr>
          <w:rFonts w:ascii="Times New Roman" w:hAnsi="Times New Roman" w:cs="Times New Roman"/>
          <w:sz w:val="24"/>
          <w:szCs w:val="24"/>
        </w:rPr>
        <w:t xml:space="preserve"> (2013) "</w:t>
      </w:r>
      <w:r w:rsidRPr="000F6603">
        <w:rPr>
          <w:rFonts w:ascii="Times New Roman" w:hAnsi="Times New Roman" w:cs="Times New Roman"/>
          <w:i/>
          <w:sz w:val="24"/>
          <w:szCs w:val="24"/>
        </w:rPr>
        <w:t>SEC institutes administrative proceedings against eight registered fund directors for failure to properly oversee asset valuations",</w:t>
      </w:r>
      <w:r w:rsidRPr="003A15BC">
        <w:rPr>
          <w:rFonts w:ascii="Times New Roman" w:hAnsi="Times New Roman" w:cs="Times New Roman"/>
          <w:sz w:val="24"/>
          <w:szCs w:val="24"/>
        </w:rPr>
        <w:t xml:space="preserve"> Journal of Investment Compliance, Vol. 14 Iss: 1, pp.29 – 31</w:t>
      </w:r>
    </w:p>
    <w:p w:rsidR="000F6603" w:rsidRPr="003A15BC" w:rsidRDefault="000F6603" w:rsidP="007D0965">
      <w:pPr>
        <w:spacing w:after="0" w:line="360" w:lineRule="auto"/>
        <w:jc w:val="both"/>
        <w:rPr>
          <w:rFonts w:ascii="Times New Roman" w:eastAsia="Times New Roman" w:hAnsi="Times New Roman" w:cs="Times New Roman"/>
          <w:sz w:val="24"/>
          <w:szCs w:val="24"/>
        </w:rPr>
      </w:pPr>
    </w:p>
    <w:p w:rsidR="000F6603" w:rsidRDefault="000F6603" w:rsidP="007D096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Tollington, T., Tawy, N., </w:t>
      </w:r>
      <w:r w:rsidRPr="00322BE1">
        <w:rPr>
          <w:rFonts w:ascii="Times New Roman" w:eastAsia="Times New Roman" w:hAnsi="Times New Roman" w:cs="Times New Roman"/>
          <w:sz w:val="24"/>
          <w:szCs w:val="24"/>
        </w:rPr>
        <w:t>(2010) "</w:t>
      </w:r>
      <w:r w:rsidRPr="000F6603">
        <w:rPr>
          <w:rFonts w:ascii="Times New Roman" w:eastAsia="Times New Roman" w:hAnsi="Times New Roman" w:cs="Times New Roman"/>
          <w:i/>
          <w:sz w:val="24"/>
          <w:szCs w:val="24"/>
        </w:rPr>
        <w:t>Exploring the HRM/accounting interface on human assets: The case for artefact</w:t>
      </w:r>
      <w:r w:rsidRPr="000F6603">
        <w:rPr>
          <w:rFonts w:ascii="Cambria Math" w:eastAsia="Times New Roman" w:hAnsi="Cambria Math" w:cs="Times New Roman"/>
          <w:i/>
          <w:sz w:val="24"/>
          <w:szCs w:val="24"/>
        </w:rPr>
        <w:t>‐</w:t>
      </w:r>
      <w:r w:rsidRPr="000F6603">
        <w:rPr>
          <w:rFonts w:ascii="Times New Roman" w:eastAsia="Times New Roman" w:hAnsi="Times New Roman" w:cs="Times New Roman"/>
          <w:i/>
          <w:sz w:val="24"/>
          <w:szCs w:val="24"/>
        </w:rPr>
        <w:t>based asset recognition criteria",</w:t>
      </w:r>
      <w:r w:rsidRPr="00322BE1">
        <w:rPr>
          <w:rFonts w:ascii="Times New Roman" w:eastAsia="Times New Roman" w:hAnsi="Times New Roman" w:cs="Times New Roman"/>
          <w:sz w:val="24"/>
          <w:szCs w:val="24"/>
        </w:rPr>
        <w:t xml:space="preserve"> Journal of Human Resource Costing &amp; Accounting, Vol. 14 Iss: 1, pp.28 </w:t>
      </w:r>
      <w:r w:rsidRPr="003A15BC">
        <w:rPr>
          <w:rFonts w:ascii="Times New Roman" w:eastAsia="Times New Roman" w:hAnsi="Times New Roman" w:cs="Times New Roman"/>
          <w:sz w:val="24"/>
          <w:szCs w:val="24"/>
        </w:rPr>
        <w:t>–</w:t>
      </w:r>
      <w:r w:rsidRPr="00322BE1">
        <w:rPr>
          <w:rFonts w:ascii="Times New Roman" w:eastAsia="Times New Roman" w:hAnsi="Times New Roman" w:cs="Times New Roman"/>
          <w:sz w:val="24"/>
          <w:szCs w:val="24"/>
        </w:rPr>
        <w:t xml:space="preserve"> 47</w:t>
      </w:r>
    </w:p>
    <w:p w:rsidR="000F6603" w:rsidRDefault="000F6603" w:rsidP="007D0965">
      <w:pPr>
        <w:spacing w:after="0" w:line="360" w:lineRule="auto"/>
        <w:jc w:val="both"/>
        <w:rPr>
          <w:rFonts w:ascii="Times New Roman" w:eastAsia="Times New Roman" w:hAnsi="Times New Roman" w:cs="Times New Roman"/>
          <w:sz w:val="24"/>
          <w:szCs w:val="24"/>
        </w:rPr>
      </w:pPr>
    </w:p>
    <w:p w:rsidR="000F6603" w:rsidRPr="003A15BC" w:rsidRDefault="000F6603" w:rsidP="007D09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Vaish, A., Prabhakar, A., Mishra, H., Dayal, N., Singh, S., Goel, U., Coull, N.,</w:t>
      </w:r>
      <w:r w:rsidRPr="003A15BC">
        <w:rPr>
          <w:rFonts w:ascii="Times New Roman" w:hAnsi="Times New Roman" w:cs="Times New Roman"/>
          <w:sz w:val="24"/>
          <w:szCs w:val="24"/>
        </w:rPr>
        <w:t xml:space="preserve"> (2011) "</w:t>
      </w:r>
      <w:r w:rsidRPr="000F6603">
        <w:rPr>
          <w:rFonts w:ascii="Times New Roman" w:hAnsi="Times New Roman" w:cs="Times New Roman"/>
          <w:i/>
          <w:sz w:val="24"/>
          <w:szCs w:val="24"/>
        </w:rPr>
        <w:t>Quantifying information dynamics through a new valuation system",</w:t>
      </w:r>
      <w:r w:rsidRPr="003A15BC">
        <w:rPr>
          <w:rFonts w:ascii="Times New Roman" w:hAnsi="Times New Roman" w:cs="Times New Roman"/>
          <w:sz w:val="24"/>
          <w:szCs w:val="24"/>
        </w:rPr>
        <w:t xml:space="preserve"> Information Management &amp; Computer Security, Vol. 19 Iss: 5, pp.313 – 332</w:t>
      </w:r>
    </w:p>
    <w:p w:rsidR="000F6603" w:rsidRDefault="000F6603" w:rsidP="007D0965">
      <w:pPr>
        <w:spacing w:after="0" w:line="360" w:lineRule="auto"/>
        <w:jc w:val="both"/>
        <w:rPr>
          <w:rFonts w:ascii="Times New Roman" w:eastAsia="Times New Roman" w:hAnsi="Times New Roman" w:cs="Times New Roman"/>
          <w:sz w:val="24"/>
          <w:szCs w:val="24"/>
        </w:rPr>
      </w:pPr>
    </w:p>
    <w:p w:rsidR="000F6603" w:rsidRPr="005E7194" w:rsidRDefault="000F6603" w:rsidP="007D096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Watson, R., </w:t>
      </w:r>
      <w:r w:rsidRPr="005E7194">
        <w:rPr>
          <w:rFonts w:ascii="Times New Roman" w:eastAsia="Times New Roman" w:hAnsi="Times New Roman" w:cs="Times New Roman"/>
          <w:sz w:val="24"/>
          <w:szCs w:val="24"/>
        </w:rPr>
        <w:t>(2010) "</w:t>
      </w:r>
      <w:r w:rsidRPr="000F6603">
        <w:rPr>
          <w:rFonts w:ascii="Times New Roman" w:eastAsia="Times New Roman" w:hAnsi="Times New Roman" w:cs="Times New Roman"/>
          <w:i/>
          <w:sz w:val="24"/>
          <w:szCs w:val="24"/>
        </w:rPr>
        <w:t>Small and medium size enterprises and the knowledge economy: Assessing the relevance of intangible asset valuation, reporting and management initiatives",</w:t>
      </w:r>
      <w:r w:rsidRPr="005E7194">
        <w:rPr>
          <w:rFonts w:ascii="Times New Roman" w:eastAsia="Times New Roman" w:hAnsi="Times New Roman" w:cs="Times New Roman"/>
          <w:sz w:val="24"/>
          <w:szCs w:val="24"/>
        </w:rPr>
        <w:t xml:space="preserve"> Journal of Financial Regulation and Compliance, Vol. 18 Iss: 2, pp.131 - 143</w:t>
      </w:r>
    </w:p>
    <w:p w:rsidR="000F6603" w:rsidRPr="003A15BC" w:rsidRDefault="000F6603" w:rsidP="007D0965">
      <w:pPr>
        <w:spacing w:after="0" w:line="360" w:lineRule="auto"/>
        <w:jc w:val="both"/>
        <w:rPr>
          <w:rFonts w:ascii="Times New Roman" w:eastAsia="Times New Roman" w:hAnsi="Times New Roman" w:cs="Times New Roman"/>
          <w:sz w:val="24"/>
          <w:szCs w:val="24"/>
        </w:rPr>
      </w:pPr>
    </w:p>
    <w:p w:rsidR="000F6603" w:rsidRPr="003A15BC" w:rsidRDefault="000F6603" w:rsidP="007D096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Wang, M., Kong, D., </w:t>
      </w:r>
      <w:r w:rsidRPr="004F28AD">
        <w:rPr>
          <w:rFonts w:ascii="Times New Roman" w:eastAsia="Times New Roman" w:hAnsi="Times New Roman" w:cs="Times New Roman"/>
          <w:sz w:val="24"/>
          <w:szCs w:val="24"/>
        </w:rPr>
        <w:t xml:space="preserve">(2011) </w:t>
      </w:r>
      <w:r w:rsidRPr="000F6603">
        <w:rPr>
          <w:rFonts w:ascii="Times New Roman" w:eastAsia="Times New Roman" w:hAnsi="Times New Roman" w:cs="Times New Roman"/>
          <w:i/>
          <w:sz w:val="24"/>
          <w:szCs w:val="24"/>
        </w:rPr>
        <w:t>"Illiquidity and asset pricing in the Chinese stock market</w:t>
      </w:r>
      <w:r w:rsidRPr="004F28AD">
        <w:rPr>
          <w:rFonts w:ascii="Times New Roman" w:eastAsia="Times New Roman" w:hAnsi="Times New Roman" w:cs="Times New Roman"/>
          <w:sz w:val="24"/>
          <w:szCs w:val="24"/>
        </w:rPr>
        <w:t xml:space="preserve">", China Finance Review International, Vol. 1 Iss: 1, pp.57 </w:t>
      </w:r>
      <w:r w:rsidRPr="003A15BC">
        <w:rPr>
          <w:rFonts w:ascii="Times New Roman" w:eastAsia="Times New Roman" w:hAnsi="Times New Roman" w:cs="Times New Roman"/>
          <w:sz w:val="24"/>
          <w:szCs w:val="24"/>
        </w:rPr>
        <w:t>–</w:t>
      </w:r>
      <w:r w:rsidRPr="004F28AD">
        <w:rPr>
          <w:rFonts w:ascii="Times New Roman" w:eastAsia="Times New Roman" w:hAnsi="Times New Roman" w:cs="Times New Roman"/>
          <w:sz w:val="24"/>
          <w:szCs w:val="24"/>
        </w:rPr>
        <w:t xml:space="preserve"> 77</w:t>
      </w:r>
    </w:p>
    <w:p w:rsidR="00132D97" w:rsidRPr="00AA3D0F" w:rsidRDefault="00132D97" w:rsidP="007D0965">
      <w:pPr>
        <w:pStyle w:val="Body"/>
        <w:spacing w:line="360" w:lineRule="auto"/>
        <w:contextualSpacing/>
        <w:jc w:val="both"/>
        <w:rPr>
          <w:rFonts w:ascii="Times New Roman" w:hAnsi="Times New Roman" w:cs="Times New Roman"/>
          <w:iCs/>
          <w:sz w:val="24"/>
          <w:szCs w:val="24"/>
        </w:rPr>
      </w:pPr>
    </w:p>
    <w:p w:rsidR="00D748B8" w:rsidRPr="00AA3D0F" w:rsidRDefault="00C0191F" w:rsidP="007D0965">
      <w:pPr>
        <w:spacing w:line="360" w:lineRule="auto"/>
        <w:contextualSpacing/>
        <w:rPr>
          <w:rFonts w:ascii="Times New Roman" w:hAnsi="Times New Roman" w:cs="Times New Roman"/>
          <w:sz w:val="24"/>
          <w:szCs w:val="24"/>
        </w:rPr>
      </w:pPr>
      <w:hyperlink r:id="rId9" w:history="1">
        <w:r w:rsidR="00132D97" w:rsidRPr="004A73FA">
          <w:rPr>
            <w:rStyle w:val="Hyperlink"/>
            <w:rFonts w:ascii="Times New Roman" w:hAnsi="Times New Roman" w:cs="Times New Roman"/>
            <w:sz w:val="24"/>
            <w:szCs w:val="24"/>
          </w:rPr>
          <w:t>http://www.riotinto.com/documents/RT_Annual_Report_2015.pdf</w:t>
        </w:r>
      </w:hyperlink>
      <w:r w:rsidR="00132D97">
        <w:rPr>
          <w:rFonts w:ascii="Times New Roman" w:hAnsi="Times New Roman" w:cs="Times New Roman"/>
          <w:sz w:val="24"/>
          <w:szCs w:val="24"/>
        </w:rPr>
        <w:t xml:space="preserve">  [Accessed on 9-May-2016]</w:t>
      </w:r>
    </w:p>
    <w:sectPr w:rsidR="00D748B8" w:rsidRPr="00AA3D0F" w:rsidSect="00076AFB">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5DF" w:rsidRDefault="008245DF" w:rsidP="00076AFB">
      <w:pPr>
        <w:spacing w:after="0" w:line="240" w:lineRule="auto"/>
      </w:pPr>
      <w:r>
        <w:separator/>
      </w:r>
    </w:p>
  </w:endnote>
  <w:endnote w:type="continuationSeparator" w:id="1">
    <w:p w:rsidR="008245DF" w:rsidRDefault="008245DF" w:rsidP="00076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3359"/>
      <w:docPartObj>
        <w:docPartGallery w:val="Page Numbers (Bottom of Page)"/>
        <w:docPartUnique/>
      </w:docPartObj>
    </w:sdtPr>
    <w:sdtContent>
      <w:p w:rsidR="00157039" w:rsidRDefault="00C0191F">
        <w:pPr>
          <w:pStyle w:val="Footer"/>
          <w:jc w:val="right"/>
        </w:pPr>
        <w:fldSimple w:instr=" PAGE   \* MERGEFORMAT ">
          <w:r w:rsidR="00E705C6">
            <w:rPr>
              <w:noProof/>
            </w:rPr>
            <w:t>12</w:t>
          </w:r>
        </w:fldSimple>
      </w:p>
    </w:sdtContent>
  </w:sdt>
  <w:p w:rsidR="00157039" w:rsidRDefault="001570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9438"/>
      <w:docPartObj>
        <w:docPartGallery w:val="Page Numbers (Bottom of Page)"/>
        <w:docPartUnique/>
      </w:docPartObj>
    </w:sdtPr>
    <w:sdtContent>
      <w:p w:rsidR="00076AFB" w:rsidRDefault="00C0191F">
        <w:pPr>
          <w:pStyle w:val="Footer"/>
          <w:jc w:val="right"/>
        </w:pPr>
        <w:fldSimple w:instr=" PAGE   \* MERGEFORMAT ">
          <w:r w:rsidR="00E705C6">
            <w:rPr>
              <w:noProof/>
            </w:rPr>
            <w:t>1</w:t>
          </w:r>
        </w:fldSimple>
      </w:p>
    </w:sdtContent>
  </w:sdt>
  <w:p w:rsidR="00076AFB" w:rsidRDefault="00076A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5DF" w:rsidRDefault="008245DF" w:rsidP="00076AFB">
      <w:pPr>
        <w:spacing w:after="0" w:line="240" w:lineRule="auto"/>
      </w:pPr>
      <w:r>
        <w:separator/>
      </w:r>
    </w:p>
  </w:footnote>
  <w:footnote w:type="continuationSeparator" w:id="1">
    <w:p w:rsidR="008245DF" w:rsidRDefault="008245DF" w:rsidP="00076A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FB" w:rsidRPr="00076AFB" w:rsidRDefault="00076AFB" w:rsidP="00076AFB">
    <w:pPr>
      <w:pStyle w:val="Body"/>
      <w:rPr>
        <w:rFonts w:ascii="Times New Roman" w:hAnsi="Times New Roman" w:cs="Times New Roman"/>
        <w:sz w:val="24"/>
        <w:szCs w:val="24"/>
      </w:rPr>
    </w:pPr>
    <w:r w:rsidRPr="00076AFB">
      <w:rPr>
        <w:rFonts w:ascii="Times New Roman" w:hAnsi="Times New Roman" w:cs="Times New Roman"/>
        <w:sz w:val="24"/>
        <w:szCs w:val="24"/>
      </w:rPr>
      <w:t>BUACC2606 FINANCIAL ACCOUNTING RESEARCH ASSIGNMENT SEMESTER 1, 2016</w:t>
    </w:r>
  </w:p>
  <w:p w:rsidR="00076AFB" w:rsidRDefault="00076A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2331C"/>
    <w:multiLevelType w:val="hybridMultilevel"/>
    <w:tmpl w:val="2A10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7F2BCF"/>
    <w:multiLevelType w:val="hybridMultilevel"/>
    <w:tmpl w:val="E2461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8248A"/>
    <w:rsid w:val="000123B7"/>
    <w:rsid w:val="0001318F"/>
    <w:rsid w:val="00026959"/>
    <w:rsid w:val="0002748A"/>
    <w:rsid w:val="00030AC0"/>
    <w:rsid w:val="00035393"/>
    <w:rsid w:val="000527ED"/>
    <w:rsid w:val="00057087"/>
    <w:rsid w:val="0006044A"/>
    <w:rsid w:val="0006169C"/>
    <w:rsid w:val="00063340"/>
    <w:rsid w:val="00073BAA"/>
    <w:rsid w:val="00076AFB"/>
    <w:rsid w:val="000978CA"/>
    <w:rsid w:val="000A36A0"/>
    <w:rsid w:val="000B7A0C"/>
    <w:rsid w:val="000C6732"/>
    <w:rsid w:val="000C6F7B"/>
    <w:rsid w:val="000D2A0E"/>
    <w:rsid w:val="000D46DF"/>
    <w:rsid w:val="000D5D12"/>
    <w:rsid w:val="000D653E"/>
    <w:rsid w:val="000E17FD"/>
    <w:rsid w:val="000F6603"/>
    <w:rsid w:val="00103BDB"/>
    <w:rsid w:val="00111717"/>
    <w:rsid w:val="00114E7C"/>
    <w:rsid w:val="0011627A"/>
    <w:rsid w:val="0011668D"/>
    <w:rsid w:val="00116D06"/>
    <w:rsid w:val="001322A3"/>
    <w:rsid w:val="00132D97"/>
    <w:rsid w:val="00151B2F"/>
    <w:rsid w:val="001535FC"/>
    <w:rsid w:val="00156DF4"/>
    <w:rsid w:val="00157039"/>
    <w:rsid w:val="00166DC6"/>
    <w:rsid w:val="00171EA0"/>
    <w:rsid w:val="00181E49"/>
    <w:rsid w:val="001A41F4"/>
    <w:rsid w:val="001A6841"/>
    <w:rsid w:val="001A6A08"/>
    <w:rsid w:val="001B2B6B"/>
    <w:rsid w:val="001C4811"/>
    <w:rsid w:val="001C7C6A"/>
    <w:rsid w:val="001D129F"/>
    <w:rsid w:val="001D2F0E"/>
    <w:rsid w:val="001F1116"/>
    <w:rsid w:val="00204A7D"/>
    <w:rsid w:val="00205002"/>
    <w:rsid w:val="00207E32"/>
    <w:rsid w:val="00222929"/>
    <w:rsid w:val="00226417"/>
    <w:rsid w:val="00230184"/>
    <w:rsid w:val="00230A07"/>
    <w:rsid w:val="00231BDA"/>
    <w:rsid w:val="00236FAE"/>
    <w:rsid w:val="00240A0E"/>
    <w:rsid w:val="002425C1"/>
    <w:rsid w:val="00243CCB"/>
    <w:rsid w:val="00246034"/>
    <w:rsid w:val="002463C1"/>
    <w:rsid w:val="002603BC"/>
    <w:rsid w:val="0026314A"/>
    <w:rsid w:val="00265D5B"/>
    <w:rsid w:val="0027594E"/>
    <w:rsid w:val="0028235F"/>
    <w:rsid w:val="0028243E"/>
    <w:rsid w:val="002837C6"/>
    <w:rsid w:val="00283F20"/>
    <w:rsid w:val="002977F2"/>
    <w:rsid w:val="002A1768"/>
    <w:rsid w:val="002A1C11"/>
    <w:rsid w:val="002A30DE"/>
    <w:rsid w:val="002B4CBA"/>
    <w:rsid w:val="002B7A57"/>
    <w:rsid w:val="002D02B3"/>
    <w:rsid w:val="002D07F6"/>
    <w:rsid w:val="002D2433"/>
    <w:rsid w:val="002D60FE"/>
    <w:rsid w:val="002E1B25"/>
    <w:rsid w:val="002E3CBA"/>
    <w:rsid w:val="002F48CC"/>
    <w:rsid w:val="002F5686"/>
    <w:rsid w:val="002F6450"/>
    <w:rsid w:val="0030172A"/>
    <w:rsid w:val="0030222D"/>
    <w:rsid w:val="003027CD"/>
    <w:rsid w:val="003169F1"/>
    <w:rsid w:val="00320B85"/>
    <w:rsid w:val="00320C5A"/>
    <w:rsid w:val="00322187"/>
    <w:rsid w:val="00340DEB"/>
    <w:rsid w:val="003516B2"/>
    <w:rsid w:val="00374568"/>
    <w:rsid w:val="00383569"/>
    <w:rsid w:val="00385151"/>
    <w:rsid w:val="00386A13"/>
    <w:rsid w:val="0039106E"/>
    <w:rsid w:val="00396862"/>
    <w:rsid w:val="003B4B40"/>
    <w:rsid w:val="003B5F6A"/>
    <w:rsid w:val="003C02CE"/>
    <w:rsid w:val="003D6278"/>
    <w:rsid w:val="003E2DE5"/>
    <w:rsid w:val="003E40CF"/>
    <w:rsid w:val="003E481B"/>
    <w:rsid w:val="003E61EE"/>
    <w:rsid w:val="003E76A0"/>
    <w:rsid w:val="003F1CBC"/>
    <w:rsid w:val="003F3C15"/>
    <w:rsid w:val="003F71C7"/>
    <w:rsid w:val="00401BDF"/>
    <w:rsid w:val="00410956"/>
    <w:rsid w:val="004109FA"/>
    <w:rsid w:val="004120B2"/>
    <w:rsid w:val="0042590A"/>
    <w:rsid w:val="00426A06"/>
    <w:rsid w:val="00442244"/>
    <w:rsid w:val="00447BB5"/>
    <w:rsid w:val="00450CA0"/>
    <w:rsid w:val="004510A5"/>
    <w:rsid w:val="00451F29"/>
    <w:rsid w:val="00454936"/>
    <w:rsid w:val="00456868"/>
    <w:rsid w:val="00480F88"/>
    <w:rsid w:val="004864DF"/>
    <w:rsid w:val="004904B4"/>
    <w:rsid w:val="00493B12"/>
    <w:rsid w:val="00494EA3"/>
    <w:rsid w:val="00496DB4"/>
    <w:rsid w:val="004B3414"/>
    <w:rsid w:val="004C1ADB"/>
    <w:rsid w:val="004C3DD8"/>
    <w:rsid w:val="004E1065"/>
    <w:rsid w:val="004E6E82"/>
    <w:rsid w:val="004E7768"/>
    <w:rsid w:val="004F5180"/>
    <w:rsid w:val="00503A69"/>
    <w:rsid w:val="005113AB"/>
    <w:rsid w:val="005131BC"/>
    <w:rsid w:val="00526131"/>
    <w:rsid w:val="0054761C"/>
    <w:rsid w:val="00547C33"/>
    <w:rsid w:val="005516F0"/>
    <w:rsid w:val="005736E4"/>
    <w:rsid w:val="00582CF9"/>
    <w:rsid w:val="005860D0"/>
    <w:rsid w:val="00596A98"/>
    <w:rsid w:val="005A6496"/>
    <w:rsid w:val="005B7694"/>
    <w:rsid w:val="005C2A50"/>
    <w:rsid w:val="005C5BE0"/>
    <w:rsid w:val="005D0B9B"/>
    <w:rsid w:val="005D5166"/>
    <w:rsid w:val="005E0A5E"/>
    <w:rsid w:val="00607866"/>
    <w:rsid w:val="0061713D"/>
    <w:rsid w:val="0062324D"/>
    <w:rsid w:val="0062645F"/>
    <w:rsid w:val="0062669D"/>
    <w:rsid w:val="00634457"/>
    <w:rsid w:val="00636314"/>
    <w:rsid w:val="006439B7"/>
    <w:rsid w:val="00644245"/>
    <w:rsid w:val="00645120"/>
    <w:rsid w:val="00655A46"/>
    <w:rsid w:val="006578D1"/>
    <w:rsid w:val="00657D45"/>
    <w:rsid w:val="00687855"/>
    <w:rsid w:val="006913F6"/>
    <w:rsid w:val="006A58EE"/>
    <w:rsid w:val="006B3334"/>
    <w:rsid w:val="006C05FD"/>
    <w:rsid w:val="006C09D6"/>
    <w:rsid w:val="006C0A0A"/>
    <w:rsid w:val="006D2FD5"/>
    <w:rsid w:val="006E38DA"/>
    <w:rsid w:val="006E4341"/>
    <w:rsid w:val="00713D7C"/>
    <w:rsid w:val="00720BF8"/>
    <w:rsid w:val="00741E75"/>
    <w:rsid w:val="00751CDE"/>
    <w:rsid w:val="00752F88"/>
    <w:rsid w:val="007621A6"/>
    <w:rsid w:val="00762961"/>
    <w:rsid w:val="0077022A"/>
    <w:rsid w:val="00773EB4"/>
    <w:rsid w:val="007744A5"/>
    <w:rsid w:val="007765A1"/>
    <w:rsid w:val="00776A56"/>
    <w:rsid w:val="00784D38"/>
    <w:rsid w:val="00793DA1"/>
    <w:rsid w:val="007A12B8"/>
    <w:rsid w:val="007B5FCD"/>
    <w:rsid w:val="007B79B0"/>
    <w:rsid w:val="007C028D"/>
    <w:rsid w:val="007C5518"/>
    <w:rsid w:val="007D0965"/>
    <w:rsid w:val="007D3B50"/>
    <w:rsid w:val="007E4389"/>
    <w:rsid w:val="00801A42"/>
    <w:rsid w:val="00806A67"/>
    <w:rsid w:val="00814AC3"/>
    <w:rsid w:val="00815FDB"/>
    <w:rsid w:val="008245DF"/>
    <w:rsid w:val="00831F44"/>
    <w:rsid w:val="008331AF"/>
    <w:rsid w:val="00836372"/>
    <w:rsid w:val="0084129E"/>
    <w:rsid w:val="0084727A"/>
    <w:rsid w:val="008515FC"/>
    <w:rsid w:val="008575CB"/>
    <w:rsid w:val="00864857"/>
    <w:rsid w:val="00867038"/>
    <w:rsid w:val="00872E59"/>
    <w:rsid w:val="0087753C"/>
    <w:rsid w:val="00882CC6"/>
    <w:rsid w:val="00890F85"/>
    <w:rsid w:val="00891F9D"/>
    <w:rsid w:val="0089223C"/>
    <w:rsid w:val="00894F59"/>
    <w:rsid w:val="008A3FC9"/>
    <w:rsid w:val="008B7D4E"/>
    <w:rsid w:val="008C0519"/>
    <w:rsid w:val="008D5B0B"/>
    <w:rsid w:val="008D6667"/>
    <w:rsid w:val="008E0006"/>
    <w:rsid w:val="008E4351"/>
    <w:rsid w:val="008F5343"/>
    <w:rsid w:val="008F7986"/>
    <w:rsid w:val="008F7C71"/>
    <w:rsid w:val="0090220A"/>
    <w:rsid w:val="0090478A"/>
    <w:rsid w:val="00912AEF"/>
    <w:rsid w:val="009168BE"/>
    <w:rsid w:val="00920852"/>
    <w:rsid w:val="00943744"/>
    <w:rsid w:val="0096319A"/>
    <w:rsid w:val="00971F1E"/>
    <w:rsid w:val="009838F7"/>
    <w:rsid w:val="00995292"/>
    <w:rsid w:val="009A19D8"/>
    <w:rsid w:val="009C5E1F"/>
    <w:rsid w:val="009C77FD"/>
    <w:rsid w:val="009D3027"/>
    <w:rsid w:val="009D574A"/>
    <w:rsid w:val="009D656F"/>
    <w:rsid w:val="009E02EE"/>
    <w:rsid w:val="009E0968"/>
    <w:rsid w:val="009E1D64"/>
    <w:rsid w:val="009E3DD4"/>
    <w:rsid w:val="009E7537"/>
    <w:rsid w:val="009F15E2"/>
    <w:rsid w:val="009F5248"/>
    <w:rsid w:val="00A00FB5"/>
    <w:rsid w:val="00A0256C"/>
    <w:rsid w:val="00A06AF6"/>
    <w:rsid w:val="00A0744A"/>
    <w:rsid w:val="00A30F5C"/>
    <w:rsid w:val="00A34C07"/>
    <w:rsid w:val="00A4064F"/>
    <w:rsid w:val="00A4171A"/>
    <w:rsid w:val="00A4230F"/>
    <w:rsid w:val="00A511CD"/>
    <w:rsid w:val="00A54016"/>
    <w:rsid w:val="00A57A10"/>
    <w:rsid w:val="00A70DBF"/>
    <w:rsid w:val="00A8280F"/>
    <w:rsid w:val="00A93D54"/>
    <w:rsid w:val="00AA3D0F"/>
    <w:rsid w:val="00AA6C91"/>
    <w:rsid w:val="00AB21BB"/>
    <w:rsid w:val="00AC39E9"/>
    <w:rsid w:val="00AC6F35"/>
    <w:rsid w:val="00AD234A"/>
    <w:rsid w:val="00AD49CC"/>
    <w:rsid w:val="00AE023A"/>
    <w:rsid w:val="00AE1BA4"/>
    <w:rsid w:val="00AF1C89"/>
    <w:rsid w:val="00AF4731"/>
    <w:rsid w:val="00B1275A"/>
    <w:rsid w:val="00B155E8"/>
    <w:rsid w:val="00B16C96"/>
    <w:rsid w:val="00B17C37"/>
    <w:rsid w:val="00B25CBF"/>
    <w:rsid w:val="00B334F3"/>
    <w:rsid w:val="00B4475A"/>
    <w:rsid w:val="00B46391"/>
    <w:rsid w:val="00B53BEF"/>
    <w:rsid w:val="00B618D2"/>
    <w:rsid w:val="00B6355B"/>
    <w:rsid w:val="00B67C32"/>
    <w:rsid w:val="00B74BF7"/>
    <w:rsid w:val="00B74E08"/>
    <w:rsid w:val="00B8169A"/>
    <w:rsid w:val="00B8248A"/>
    <w:rsid w:val="00B846CC"/>
    <w:rsid w:val="00B94A6C"/>
    <w:rsid w:val="00B95130"/>
    <w:rsid w:val="00B96A9E"/>
    <w:rsid w:val="00BA7C4C"/>
    <w:rsid w:val="00BB62EE"/>
    <w:rsid w:val="00BC3339"/>
    <w:rsid w:val="00BC6230"/>
    <w:rsid w:val="00BC76C5"/>
    <w:rsid w:val="00BD2FAB"/>
    <w:rsid w:val="00BD487E"/>
    <w:rsid w:val="00BE1652"/>
    <w:rsid w:val="00BE6B62"/>
    <w:rsid w:val="00BE7A9E"/>
    <w:rsid w:val="00BF1780"/>
    <w:rsid w:val="00BF2A90"/>
    <w:rsid w:val="00BF2BFD"/>
    <w:rsid w:val="00C0191F"/>
    <w:rsid w:val="00C11A48"/>
    <w:rsid w:val="00C2620A"/>
    <w:rsid w:val="00C275A3"/>
    <w:rsid w:val="00C31F67"/>
    <w:rsid w:val="00C34509"/>
    <w:rsid w:val="00C40C79"/>
    <w:rsid w:val="00C55663"/>
    <w:rsid w:val="00C6770F"/>
    <w:rsid w:val="00C70401"/>
    <w:rsid w:val="00C822B3"/>
    <w:rsid w:val="00C85A4A"/>
    <w:rsid w:val="00C91178"/>
    <w:rsid w:val="00C9558B"/>
    <w:rsid w:val="00C965A8"/>
    <w:rsid w:val="00CA0696"/>
    <w:rsid w:val="00CA2ACE"/>
    <w:rsid w:val="00CA3062"/>
    <w:rsid w:val="00CA4C75"/>
    <w:rsid w:val="00CD2DB1"/>
    <w:rsid w:val="00D01D9E"/>
    <w:rsid w:val="00D13314"/>
    <w:rsid w:val="00D210B3"/>
    <w:rsid w:val="00D22DA7"/>
    <w:rsid w:val="00D23FAD"/>
    <w:rsid w:val="00D247E4"/>
    <w:rsid w:val="00D27C5E"/>
    <w:rsid w:val="00D35867"/>
    <w:rsid w:val="00D748B8"/>
    <w:rsid w:val="00D80AE7"/>
    <w:rsid w:val="00D91357"/>
    <w:rsid w:val="00D936CC"/>
    <w:rsid w:val="00DA101A"/>
    <w:rsid w:val="00DA7BF3"/>
    <w:rsid w:val="00DB3B31"/>
    <w:rsid w:val="00DB4C4F"/>
    <w:rsid w:val="00DB6548"/>
    <w:rsid w:val="00DC17B2"/>
    <w:rsid w:val="00DC32B0"/>
    <w:rsid w:val="00DC3504"/>
    <w:rsid w:val="00DD18B2"/>
    <w:rsid w:val="00DD3D94"/>
    <w:rsid w:val="00DD3F28"/>
    <w:rsid w:val="00DD540F"/>
    <w:rsid w:val="00DE28B5"/>
    <w:rsid w:val="00DE37EA"/>
    <w:rsid w:val="00DF07FD"/>
    <w:rsid w:val="00E02966"/>
    <w:rsid w:val="00E03042"/>
    <w:rsid w:val="00E1537F"/>
    <w:rsid w:val="00E214C9"/>
    <w:rsid w:val="00E401CF"/>
    <w:rsid w:val="00E53B5B"/>
    <w:rsid w:val="00E6027D"/>
    <w:rsid w:val="00E60404"/>
    <w:rsid w:val="00E65C0E"/>
    <w:rsid w:val="00E66435"/>
    <w:rsid w:val="00E7000F"/>
    <w:rsid w:val="00E705C6"/>
    <w:rsid w:val="00E77434"/>
    <w:rsid w:val="00E8543E"/>
    <w:rsid w:val="00EA202C"/>
    <w:rsid w:val="00EA4E81"/>
    <w:rsid w:val="00EB2120"/>
    <w:rsid w:val="00EB2726"/>
    <w:rsid w:val="00EB3591"/>
    <w:rsid w:val="00EC02DA"/>
    <w:rsid w:val="00EC0715"/>
    <w:rsid w:val="00EC2F5D"/>
    <w:rsid w:val="00ED2BCC"/>
    <w:rsid w:val="00ED4A52"/>
    <w:rsid w:val="00ED60C3"/>
    <w:rsid w:val="00EE1939"/>
    <w:rsid w:val="00EF1A63"/>
    <w:rsid w:val="00EF4C40"/>
    <w:rsid w:val="00EF7A51"/>
    <w:rsid w:val="00F004CD"/>
    <w:rsid w:val="00F04162"/>
    <w:rsid w:val="00F135E0"/>
    <w:rsid w:val="00F22BE0"/>
    <w:rsid w:val="00F3186D"/>
    <w:rsid w:val="00F3244A"/>
    <w:rsid w:val="00F32F6D"/>
    <w:rsid w:val="00F342B8"/>
    <w:rsid w:val="00F4799E"/>
    <w:rsid w:val="00F66924"/>
    <w:rsid w:val="00F82FC3"/>
    <w:rsid w:val="00FB0B64"/>
    <w:rsid w:val="00FB1119"/>
    <w:rsid w:val="00FB3506"/>
    <w:rsid w:val="00FB44C6"/>
    <w:rsid w:val="00FC1674"/>
    <w:rsid w:val="00FC3A89"/>
    <w:rsid w:val="00FD3637"/>
    <w:rsid w:val="00FE2B83"/>
    <w:rsid w:val="00FE4387"/>
    <w:rsid w:val="00FF2C7F"/>
    <w:rsid w:val="00FF7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CA"/>
  </w:style>
  <w:style w:type="paragraph" w:styleId="Heading1">
    <w:name w:val="heading 1"/>
    <w:basedOn w:val="Normal"/>
    <w:next w:val="Normal"/>
    <w:link w:val="Heading1Char"/>
    <w:uiPriority w:val="9"/>
    <w:qFormat/>
    <w:rsid w:val="00AA6C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6C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6AFB"/>
    <w:pPr>
      <w:spacing w:after="0" w:line="240" w:lineRule="auto"/>
    </w:pPr>
    <w:rPr>
      <w:rFonts w:eastAsiaTheme="minorEastAsia"/>
    </w:rPr>
  </w:style>
  <w:style w:type="character" w:customStyle="1" w:styleId="NoSpacingChar">
    <w:name w:val="No Spacing Char"/>
    <w:basedOn w:val="DefaultParagraphFont"/>
    <w:link w:val="NoSpacing"/>
    <w:uiPriority w:val="1"/>
    <w:rsid w:val="00076AFB"/>
    <w:rPr>
      <w:rFonts w:eastAsiaTheme="minorEastAsia"/>
    </w:rPr>
  </w:style>
  <w:style w:type="paragraph" w:styleId="BalloonText">
    <w:name w:val="Balloon Text"/>
    <w:basedOn w:val="Normal"/>
    <w:link w:val="BalloonTextChar"/>
    <w:uiPriority w:val="99"/>
    <w:semiHidden/>
    <w:unhideWhenUsed/>
    <w:rsid w:val="00076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AFB"/>
    <w:rPr>
      <w:rFonts w:ascii="Tahoma" w:hAnsi="Tahoma" w:cs="Tahoma"/>
      <w:sz w:val="16"/>
      <w:szCs w:val="16"/>
    </w:rPr>
  </w:style>
  <w:style w:type="paragraph" w:styleId="Header">
    <w:name w:val="header"/>
    <w:basedOn w:val="Normal"/>
    <w:link w:val="HeaderChar"/>
    <w:uiPriority w:val="99"/>
    <w:semiHidden/>
    <w:unhideWhenUsed/>
    <w:rsid w:val="00076A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6AFB"/>
  </w:style>
  <w:style w:type="paragraph" w:styleId="Footer">
    <w:name w:val="footer"/>
    <w:basedOn w:val="Normal"/>
    <w:link w:val="FooterChar"/>
    <w:uiPriority w:val="99"/>
    <w:unhideWhenUsed/>
    <w:rsid w:val="00076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AFB"/>
  </w:style>
  <w:style w:type="paragraph" w:customStyle="1" w:styleId="Body">
    <w:name w:val="Body"/>
    <w:rsid w:val="00076AF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ListParagraph">
    <w:name w:val="List Paragraph"/>
    <w:basedOn w:val="Normal"/>
    <w:uiPriority w:val="34"/>
    <w:qFormat/>
    <w:rsid w:val="004109FA"/>
    <w:pPr>
      <w:ind w:left="720"/>
      <w:contextualSpacing/>
    </w:pPr>
  </w:style>
  <w:style w:type="character" w:styleId="Hyperlink">
    <w:name w:val="Hyperlink"/>
    <w:basedOn w:val="DefaultParagraphFont"/>
    <w:uiPriority w:val="99"/>
    <w:unhideWhenUsed/>
    <w:rsid w:val="00132D97"/>
    <w:rPr>
      <w:color w:val="0000FF" w:themeColor="hyperlink"/>
      <w:u w:val="single"/>
    </w:rPr>
  </w:style>
  <w:style w:type="character" w:customStyle="1" w:styleId="Heading1Char">
    <w:name w:val="Heading 1 Char"/>
    <w:basedOn w:val="DefaultParagraphFont"/>
    <w:link w:val="Heading1"/>
    <w:uiPriority w:val="9"/>
    <w:rsid w:val="00AA6C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6C9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B1275A"/>
    <w:pPr>
      <w:outlineLvl w:val="9"/>
    </w:pPr>
  </w:style>
  <w:style w:type="paragraph" w:styleId="TOC1">
    <w:name w:val="toc 1"/>
    <w:basedOn w:val="Normal"/>
    <w:next w:val="Normal"/>
    <w:autoRedefine/>
    <w:uiPriority w:val="39"/>
    <w:unhideWhenUsed/>
    <w:rsid w:val="00B1275A"/>
    <w:pPr>
      <w:spacing w:after="100"/>
    </w:pPr>
  </w:style>
  <w:style w:type="paragraph" w:styleId="TOC2">
    <w:name w:val="toc 2"/>
    <w:basedOn w:val="Normal"/>
    <w:next w:val="Normal"/>
    <w:autoRedefine/>
    <w:uiPriority w:val="39"/>
    <w:unhideWhenUsed/>
    <w:rsid w:val="00B1275A"/>
    <w:pPr>
      <w:spacing w:after="100"/>
      <w:ind w:left="220"/>
    </w:pPr>
  </w:style>
</w:styles>
</file>

<file path=word/webSettings.xml><?xml version="1.0" encoding="utf-8"?>
<w:webSettings xmlns:r="http://schemas.openxmlformats.org/officeDocument/2006/relationships" xmlns:w="http://schemas.openxmlformats.org/wordprocessingml/2006/main">
  <w:divs>
    <w:div w:id="307787983">
      <w:bodyDiv w:val="1"/>
      <w:marLeft w:val="0"/>
      <w:marRight w:val="0"/>
      <w:marTop w:val="0"/>
      <w:marBottom w:val="0"/>
      <w:divBdr>
        <w:top w:val="none" w:sz="0" w:space="0" w:color="auto"/>
        <w:left w:val="none" w:sz="0" w:space="0" w:color="auto"/>
        <w:bottom w:val="none" w:sz="0" w:space="0" w:color="auto"/>
        <w:right w:val="none" w:sz="0" w:space="0" w:color="auto"/>
      </w:divBdr>
      <w:divsChild>
        <w:div w:id="443697765">
          <w:marLeft w:val="0"/>
          <w:marRight w:val="0"/>
          <w:marTop w:val="0"/>
          <w:marBottom w:val="0"/>
          <w:divBdr>
            <w:top w:val="none" w:sz="0" w:space="0" w:color="auto"/>
            <w:left w:val="none" w:sz="0" w:space="0" w:color="auto"/>
            <w:bottom w:val="none" w:sz="0" w:space="0" w:color="auto"/>
            <w:right w:val="none" w:sz="0" w:space="0" w:color="auto"/>
          </w:divBdr>
        </w:div>
        <w:div w:id="823546883">
          <w:marLeft w:val="0"/>
          <w:marRight w:val="0"/>
          <w:marTop w:val="0"/>
          <w:marBottom w:val="0"/>
          <w:divBdr>
            <w:top w:val="none" w:sz="0" w:space="0" w:color="auto"/>
            <w:left w:val="none" w:sz="0" w:space="0" w:color="auto"/>
            <w:bottom w:val="none" w:sz="0" w:space="0" w:color="auto"/>
            <w:right w:val="none" w:sz="0" w:space="0" w:color="auto"/>
          </w:divBdr>
        </w:div>
      </w:divsChild>
    </w:div>
    <w:div w:id="432943176">
      <w:bodyDiv w:val="1"/>
      <w:marLeft w:val="0"/>
      <w:marRight w:val="0"/>
      <w:marTop w:val="0"/>
      <w:marBottom w:val="0"/>
      <w:divBdr>
        <w:top w:val="none" w:sz="0" w:space="0" w:color="auto"/>
        <w:left w:val="none" w:sz="0" w:space="0" w:color="auto"/>
        <w:bottom w:val="none" w:sz="0" w:space="0" w:color="auto"/>
        <w:right w:val="none" w:sz="0" w:space="0" w:color="auto"/>
      </w:divBdr>
      <w:divsChild>
        <w:div w:id="64449553">
          <w:marLeft w:val="0"/>
          <w:marRight w:val="0"/>
          <w:marTop w:val="0"/>
          <w:marBottom w:val="0"/>
          <w:divBdr>
            <w:top w:val="none" w:sz="0" w:space="0" w:color="auto"/>
            <w:left w:val="none" w:sz="0" w:space="0" w:color="auto"/>
            <w:bottom w:val="none" w:sz="0" w:space="0" w:color="auto"/>
            <w:right w:val="none" w:sz="0" w:space="0" w:color="auto"/>
          </w:divBdr>
        </w:div>
        <w:div w:id="1981760694">
          <w:marLeft w:val="0"/>
          <w:marRight w:val="0"/>
          <w:marTop w:val="0"/>
          <w:marBottom w:val="0"/>
          <w:divBdr>
            <w:top w:val="none" w:sz="0" w:space="0" w:color="auto"/>
            <w:left w:val="none" w:sz="0" w:space="0" w:color="auto"/>
            <w:bottom w:val="none" w:sz="0" w:space="0" w:color="auto"/>
            <w:right w:val="none" w:sz="0" w:space="0" w:color="auto"/>
          </w:divBdr>
        </w:div>
      </w:divsChild>
    </w:div>
    <w:div w:id="559707866">
      <w:bodyDiv w:val="1"/>
      <w:marLeft w:val="0"/>
      <w:marRight w:val="0"/>
      <w:marTop w:val="0"/>
      <w:marBottom w:val="0"/>
      <w:divBdr>
        <w:top w:val="none" w:sz="0" w:space="0" w:color="auto"/>
        <w:left w:val="none" w:sz="0" w:space="0" w:color="auto"/>
        <w:bottom w:val="none" w:sz="0" w:space="0" w:color="auto"/>
        <w:right w:val="none" w:sz="0" w:space="0" w:color="auto"/>
      </w:divBdr>
    </w:div>
    <w:div w:id="717827442">
      <w:bodyDiv w:val="1"/>
      <w:marLeft w:val="0"/>
      <w:marRight w:val="0"/>
      <w:marTop w:val="0"/>
      <w:marBottom w:val="0"/>
      <w:divBdr>
        <w:top w:val="none" w:sz="0" w:space="0" w:color="auto"/>
        <w:left w:val="none" w:sz="0" w:space="0" w:color="auto"/>
        <w:bottom w:val="none" w:sz="0" w:space="0" w:color="auto"/>
        <w:right w:val="none" w:sz="0" w:space="0" w:color="auto"/>
      </w:divBdr>
      <w:divsChild>
        <w:div w:id="995500442">
          <w:marLeft w:val="0"/>
          <w:marRight w:val="0"/>
          <w:marTop w:val="0"/>
          <w:marBottom w:val="0"/>
          <w:divBdr>
            <w:top w:val="none" w:sz="0" w:space="0" w:color="auto"/>
            <w:left w:val="none" w:sz="0" w:space="0" w:color="auto"/>
            <w:bottom w:val="none" w:sz="0" w:space="0" w:color="auto"/>
            <w:right w:val="none" w:sz="0" w:space="0" w:color="auto"/>
          </w:divBdr>
        </w:div>
        <w:div w:id="502161276">
          <w:marLeft w:val="0"/>
          <w:marRight w:val="0"/>
          <w:marTop w:val="0"/>
          <w:marBottom w:val="0"/>
          <w:divBdr>
            <w:top w:val="none" w:sz="0" w:space="0" w:color="auto"/>
            <w:left w:val="none" w:sz="0" w:space="0" w:color="auto"/>
            <w:bottom w:val="none" w:sz="0" w:space="0" w:color="auto"/>
            <w:right w:val="none" w:sz="0" w:space="0" w:color="auto"/>
          </w:divBdr>
        </w:div>
      </w:divsChild>
    </w:div>
    <w:div w:id="978026002">
      <w:bodyDiv w:val="1"/>
      <w:marLeft w:val="0"/>
      <w:marRight w:val="0"/>
      <w:marTop w:val="0"/>
      <w:marBottom w:val="0"/>
      <w:divBdr>
        <w:top w:val="none" w:sz="0" w:space="0" w:color="auto"/>
        <w:left w:val="none" w:sz="0" w:space="0" w:color="auto"/>
        <w:bottom w:val="none" w:sz="0" w:space="0" w:color="auto"/>
        <w:right w:val="none" w:sz="0" w:space="0" w:color="auto"/>
      </w:divBdr>
      <w:divsChild>
        <w:div w:id="428474574">
          <w:marLeft w:val="0"/>
          <w:marRight w:val="0"/>
          <w:marTop w:val="0"/>
          <w:marBottom w:val="0"/>
          <w:divBdr>
            <w:top w:val="none" w:sz="0" w:space="0" w:color="auto"/>
            <w:left w:val="none" w:sz="0" w:space="0" w:color="auto"/>
            <w:bottom w:val="none" w:sz="0" w:space="0" w:color="auto"/>
            <w:right w:val="none" w:sz="0" w:space="0" w:color="auto"/>
          </w:divBdr>
        </w:div>
        <w:div w:id="1962875537">
          <w:marLeft w:val="0"/>
          <w:marRight w:val="0"/>
          <w:marTop w:val="0"/>
          <w:marBottom w:val="0"/>
          <w:divBdr>
            <w:top w:val="none" w:sz="0" w:space="0" w:color="auto"/>
            <w:left w:val="none" w:sz="0" w:space="0" w:color="auto"/>
            <w:bottom w:val="none" w:sz="0" w:space="0" w:color="auto"/>
            <w:right w:val="none" w:sz="0" w:space="0" w:color="auto"/>
          </w:divBdr>
        </w:div>
      </w:divsChild>
    </w:div>
    <w:div w:id="1219779835">
      <w:bodyDiv w:val="1"/>
      <w:marLeft w:val="0"/>
      <w:marRight w:val="0"/>
      <w:marTop w:val="0"/>
      <w:marBottom w:val="0"/>
      <w:divBdr>
        <w:top w:val="none" w:sz="0" w:space="0" w:color="auto"/>
        <w:left w:val="none" w:sz="0" w:space="0" w:color="auto"/>
        <w:bottom w:val="none" w:sz="0" w:space="0" w:color="auto"/>
        <w:right w:val="none" w:sz="0" w:space="0" w:color="auto"/>
      </w:divBdr>
      <w:divsChild>
        <w:div w:id="1519194375">
          <w:marLeft w:val="0"/>
          <w:marRight w:val="0"/>
          <w:marTop w:val="0"/>
          <w:marBottom w:val="0"/>
          <w:divBdr>
            <w:top w:val="none" w:sz="0" w:space="0" w:color="auto"/>
            <w:left w:val="none" w:sz="0" w:space="0" w:color="auto"/>
            <w:bottom w:val="none" w:sz="0" w:space="0" w:color="auto"/>
            <w:right w:val="none" w:sz="0" w:space="0" w:color="auto"/>
          </w:divBdr>
        </w:div>
        <w:div w:id="1157385346">
          <w:marLeft w:val="0"/>
          <w:marRight w:val="0"/>
          <w:marTop w:val="0"/>
          <w:marBottom w:val="0"/>
          <w:divBdr>
            <w:top w:val="none" w:sz="0" w:space="0" w:color="auto"/>
            <w:left w:val="none" w:sz="0" w:space="0" w:color="auto"/>
            <w:bottom w:val="none" w:sz="0" w:space="0" w:color="auto"/>
            <w:right w:val="none" w:sz="0" w:space="0" w:color="auto"/>
          </w:divBdr>
        </w:div>
      </w:divsChild>
    </w:div>
    <w:div w:id="2111003894">
      <w:bodyDiv w:val="1"/>
      <w:marLeft w:val="0"/>
      <w:marRight w:val="0"/>
      <w:marTop w:val="0"/>
      <w:marBottom w:val="0"/>
      <w:divBdr>
        <w:top w:val="none" w:sz="0" w:space="0" w:color="auto"/>
        <w:left w:val="none" w:sz="0" w:space="0" w:color="auto"/>
        <w:bottom w:val="none" w:sz="0" w:space="0" w:color="auto"/>
        <w:right w:val="none" w:sz="0" w:space="0" w:color="auto"/>
      </w:divBdr>
      <w:divsChild>
        <w:div w:id="1216888549">
          <w:marLeft w:val="0"/>
          <w:marRight w:val="0"/>
          <w:marTop w:val="0"/>
          <w:marBottom w:val="0"/>
          <w:divBdr>
            <w:top w:val="none" w:sz="0" w:space="0" w:color="auto"/>
            <w:left w:val="none" w:sz="0" w:space="0" w:color="auto"/>
            <w:bottom w:val="none" w:sz="0" w:space="0" w:color="auto"/>
            <w:right w:val="none" w:sz="0" w:space="0" w:color="auto"/>
          </w:divBdr>
        </w:div>
        <w:div w:id="1737706996">
          <w:marLeft w:val="0"/>
          <w:marRight w:val="0"/>
          <w:marTop w:val="0"/>
          <w:marBottom w:val="0"/>
          <w:divBdr>
            <w:top w:val="none" w:sz="0" w:space="0" w:color="auto"/>
            <w:left w:val="none" w:sz="0" w:space="0" w:color="auto"/>
            <w:bottom w:val="none" w:sz="0" w:space="0" w:color="auto"/>
            <w:right w:val="none" w:sz="0" w:space="0" w:color="auto"/>
          </w:divBdr>
        </w:div>
        <w:div w:id="393043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iotinto.com/documents/RT_Annual_Report_2015.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C11AC"/>
    <w:rsid w:val="004053C9"/>
    <w:rsid w:val="00A274A6"/>
    <w:rsid w:val="00BC11AC"/>
    <w:rsid w:val="00EA1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6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E1A55C2958459BB3DC199D579FC9F4">
    <w:name w:val="0EE1A55C2958459BB3DC199D579FC9F4"/>
    <w:rsid w:val="00BC11AC"/>
  </w:style>
  <w:style w:type="paragraph" w:customStyle="1" w:styleId="6EA1319423EA4139B88DFCC93285D8EE">
    <w:name w:val="6EA1319423EA4139B88DFCC93285D8EE"/>
    <w:rsid w:val="00BC11AC"/>
  </w:style>
  <w:style w:type="paragraph" w:customStyle="1" w:styleId="71AD583B06474CD3B0C3FBD2E9D57CE1">
    <w:name w:val="71AD583B06474CD3B0C3FBD2E9D57CE1"/>
    <w:rsid w:val="00BC11AC"/>
  </w:style>
  <w:style w:type="paragraph" w:customStyle="1" w:styleId="EEA9FC6F7BC44C4D9D1E3049DAFBB77B">
    <w:name w:val="EEA9FC6F7BC44C4D9D1E3049DAFBB77B"/>
    <w:rsid w:val="00BC11AC"/>
  </w:style>
  <w:style w:type="paragraph" w:customStyle="1" w:styleId="B9C27D5C95764CD5861A256DE4761E56">
    <w:name w:val="B9C27D5C95764CD5861A256DE4761E56"/>
    <w:rsid w:val="00BC11A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D16590-CB1C-4DFA-9F8C-E783B08C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12</Pages>
  <Words>2956</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BUACC2606 FINANCIAL ACCOUNTING RESEARCH ASSIGNMENT SEMESTER 1, 2016</vt:lpstr>
    </vt:vector>
  </TitlesOfParts>
  <Company>XYZ</Company>
  <LinksUpToDate>false</LinksUpToDate>
  <CharactersWithSpaces>19767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BUACC2606 FINANCIAL ACCOUNTING RESEARCH ASSIGNMENT SEM 1, 2016</dc:title>
  <dc:subject/>
  <dc:creator>PERSONAL</dc:creator>
  <cp:keywords/>
  <dc:description/>
  <cp:lastModifiedBy>PERSONAL</cp:lastModifiedBy>
  <cp:revision>406</cp:revision>
  <dcterms:created xsi:type="dcterms:W3CDTF">2016-05-07T05:46:00Z</dcterms:created>
  <dcterms:modified xsi:type="dcterms:W3CDTF">2016-05-09T11:41:00Z</dcterms:modified>
</cp:coreProperties>
</file>